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304E02AB" w:rsidR="00517DAC" w:rsidRDefault="0097352E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" w:hanging="3"/>
        <w:jc w:val="center"/>
        <w:rPr>
          <w:b/>
          <w:color w:val="00B050"/>
          <w:sz w:val="34"/>
          <w:szCs w:val="34"/>
        </w:rPr>
      </w:pPr>
      <w:r>
        <w:rPr>
          <w:b/>
          <w:color w:val="00B050"/>
          <w:sz w:val="34"/>
          <w:szCs w:val="34"/>
        </w:rPr>
        <w:t>Programa Localidades Eficientes</w:t>
      </w:r>
    </w:p>
    <w:p w14:paraId="66CFBC46" w14:textId="5A834282" w:rsidR="00752B3F" w:rsidRDefault="003B2DF2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b/>
          <w:color w:val="00B050"/>
          <w:sz w:val="34"/>
          <w:szCs w:val="34"/>
        </w:rPr>
      </w:pPr>
      <w:r>
        <w:rPr>
          <w:b/>
          <w:color w:val="00B050"/>
          <w:sz w:val="34"/>
          <w:szCs w:val="34"/>
        </w:rPr>
        <w:t>4</w:t>
      </w:r>
      <w:r>
        <w:rPr>
          <w:b/>
          <w:color w:val="00B050"/>
          <w:sz w:val="34"/>
          <w:szCs w:val="34"/>
          <w:vertAlign w:val="superscript"/>
        </w:rPr>
        <w:t>t</w:t>
      </w:r>
      <w:r w:rsidR="00844D0F" w:rsidRPr="00844D0F">
        <w:rPr>
          <w:b/>
          <w:color w:val="00B050"/>
          <w:sz w:val="34"/>
          <w:szCs w:val="34"/>
          <w:vertAlign w:val="superscript"/>
        </w:rPr>
        <w:t>a</w:t>
      </w:r>
      <w:r w:rsidR="00844D0F">
        <w:rPr>
          <w:b/>
          <w:color w:val="00B050"/>
          <w:sz w:val="34"/>
          <w:szCs w:val="34"/>
        </w:rPr>
        <w:t xml:space="preserve"> </w:t>
      </w:r>
      <w:r w:rsidR="0002498F">
        <w:rPr>
          <w:b/>
          <w:color w:val="00B050"/>
          <w:sz w:val="34"/>
          <w:szCs w:val="34"/>
        </w:rPr>
        <w:t>Convocatoria</w:t>
      </w:r>
      <w:r w:rsidR="00F260B8">
        <w:rPr>
          <w:b/>
          <w:color w:val="00B050"/>
          <w:sz w:val="34"/>
          <w:szCs w:val="34"/>
        </w:rPr>
        <w:t xml:space="preserve"> </w:t>
      </w:r>
    </w:p>
    <w:p w14:paraId="00000004" w14:textId="4B2B8907" w:rsidR="00517DAC" w:rsidRDefault="00517DAC" w:rsidP="00E615B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</w:pPr>
    </w:p>
    <w:p w14:paraId="04708210" w14:textId="77777777" w:rsidR="00634B84" w:rsidRDefault="00634B84" w:rsidP="000D78E2">
      <w:pPr>
        <w:tabs>
          <w:tab w:val="left" w:pos="7387"/>
        </w:tabs>
        <w:ind w:left="0" w:hanging="2"/>
        <w:jc w:val="both"/>
      </w:pPr>
    </w:p>
    <w:p w14:paraId="00000005" w14:textId="3EE42E98" w:rsidR="00517DAC" w:rsidRDefault="00844D0F" w:rsidP="000D78E2">
      <w:pPr>
        <w:tabs>
          <w:tab w:val="left" w:pos="7387"/>
        </w:tabs>
        <w:ind w:left="0" w:hanging="2"/>
        <w:jc w:val="both"/>
      </w:pPr>
      <w:r>
        <w:t>El presente documento con</w:t>
      </w:r>
      <w:r w:rsidR="00A13903">
        <w:t xml:space="preserve">tiene </w:t>
      </w:r>
      <w:r>
        <w:t xml:space="preserve">las bases de la </w:t>
      </w:r>
      <w:r w:rsidR="003B2DF2">
        <w:t>cuarta</w:t>
      </w:r>
      <w:r>
        <w:t xml:space="preserve"> convocatoria del programa </w:t>
      </w:r>
      <w:r w:rsidR="0097352E">
        <w:t>Localidades Eficientes</w:t>
      </w:r>
      <w:r w:rsidR="00745A8D">
        <w:t>.</w:t>
      </w:r>
    </w:p>
    <w:p w14:paraId="00000006" w14:textId="518CF47D" w:rsidR="00517DAC" w:rsidRDefault="005314FE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="1" w:hanging="3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Antecedentes</w:t>
      </w:r>
    </w:p>
    <w:p w14:paraId="0ED9216D" w14:textId="578BE893" w:rsidR="0047485B" w:rsidRDefault="003E42E4" w:rsidP="0047485B">
      <w:pPr>
        <w:ind w:left="0" w:hanging="2"/>
        <w:jc w:val="both"/>
      </w:pPr>
      <w:r w:rsidRPr="00D80478">
        <w:t>La Ley Nº 18.597</w:t>
      </w:r>
      <w:r w:rsidR="0016470F" w:rsidRPr="00D80478">
        <w:t xml:space="preserve"> de</w:t>
      </w:r>
      <w:r w:rsidR="0047485B">
        <w:t xml:space="preserve"> 21 de setiembre de</w:t>
      </w:r>
      <w:r w:rsidR="0016470F" w:rsidRPr="00D80478">
        <w:t xml:space="preserve"> 2009</w:t>
      </w:r>
      <w:r w:rsidRPr="00D80478">
        <w:t xml:space="preserve"> sobre el Uso Eficiente de la Energía en el Territorio Nacional </w:t>
      </w:r>
      <w:r w:rsidR="0047485B">
        <w:t>encomendó al Ministerio de Economía y Finanzas (MEF) y al Ministerio de Industria, Energía y Minería (MIEM), la creación d</w:t>
      </w:r>
      <w:r w:rsidRPr="00D80478">
        <w:t>el Fideicomiso Uruguayo de Ahorro y Eficiencia Energética (</w:t>
      </w:r>
      <w:r w:rsidR="00F2296E">
        <w:t>Fudaee</w:t>
      </w:r>
      <w:r w:rsidRPr="00D80478">
        <w:t>)</w:t>
      </w:r>
      <w:r w:rsidR="0047485B">
        <w:t>,</w:t>
      </w:r>
      <w:r w:rsidR="0016470F" w:rsidRPr="00D80478">
        <w:t xml:space="preserve"> </w:t>
      </w:r>
      <w:r w:rsidR="0047485B" w:rsidRPr="0047485B">
        <w:t>cuyo cometido será</w:t>
      </w:r>
      <w:r w:rsidR="0047485B">
        <w:t xml:space="preserve"> </w:t>
      </w:r>
      <w:r w:rsidR="0047485B" w:rsidRPr="0047485B">
        <w:t>brindar financiamiento para la asistencia técnica en eficiencia</w:t>
      </w:r>
      <w:r w:rsidR="0047485B">
        <w:t xml:space="preserve"> </w:t>
      </w:r>
      <w:r w:rsidR="0047485B" w:rsidRPr="0047485B">
        <w:t>energética, promover la eficiencia energética a nivel nacional, financiar</w:t>
      </w:r>
      <w:r w:rsidR="0047485B">
        <w:t xml:space="preserve"> </w:t>
      </w:r>
      <w:r w:rsidR="0047485B" w:rsidRPr="0047485B">
        <w:t>proyectos de inversión en eficiencia energética, promover la investigación</w:t>
      </w:r>
      <w:r w:rsidR="0047485B">
        <w:t xml:space="preserve"> </w:t>
      </w:r>
      <w:r w:rsidR="0047485B" w:rsidRPr="0047485B">
        <w:t>y desarrollo en eficiencia energética y actuar como fondo de contingencias</w:t>
      </w:r>
      <w:r w:rsidR="0047485B">
        <w:t xml:space="preserve"> </w:t>
      </w:r>
      <w:r w:rsidR="0047485B" w:rsidRPr="0047485B">
        <w:t>en contextos de crisis del sector.</w:t>
      </w:r>
    </w:p>
    <w:p w14:paraId="415E6046" w14:textId="792F511A" w:rsidR="0047485B" w:rsidRPr="0047485B" w:rsidRDefault="0047485B" w:rsidP="0047485B">
      <w:pPr>
        <w:ind w:left="0" w:hanging="2"/>
        <w:jc w:val="both"/>
      </w:pPr>
      <w:r>
        <w:t>E</w:t>
      </w:r>
      <w:r w:rsidRPr="0047485B">
        <w:t>l </w:t>
      </w:r>
      <w:hyperlink r:id="rId9" w:tgtFrame="_blank" w:history="1">
        <w:r w:rsidRPr="001454D7">
          <w:t>Decreto N° 86/12</w:t>
        </w:r>
      </w:hyperlink>
      <w:r w:rsidRPr="0047485B">
        <w:t> </w:t>
      </w:r>
      <w:r>
        <w:t>de 22 de marzo de 2012</w:t>
      </w:r>
      <w:r w:rsidRPr="0047485B">
        <w:t>, aprueba el </w:t>
      </w:r>
      <w:r w:rsidR="00F2296E">
        <w:t>Fudaee</w:t>
      </w:r>
      <w:r w:rsidRPr="0047485B">
        <w:rPr>
          <w:b/>
          <w:bCs/>
        </w:rPr>
        <w:t> </w:t>
      </w:r>
      <w:r w:rsidRPr="0047485B">
        <w:t>cre</w:t>
      </w:r>
      <w:r w:rsidR="00494731">
        <w:t>ado por el MEF y el MIEM en su rol</w:t>
      </w:r>
      <w:r w:rsidRPr="0047485B">
        <w:t xml:space="preserve"> de fideicomitentes y la Corporación Nacional para el Desarrollo (CND) en su carácter de fiduciario.</w:t>
      </w:r>
      <w:r w:rsidR="00F260B8">
        <w:t xml:space="preserve"> </w:t>
      </w:r>
      <w:r w:rsidRPr="0047485B">
        <w:t>En lo que refiere a la gestión del Fideicomiso, el MIEM es representado por la Dirección Nacional de Energ</w:t>
      </w:r>
      <w:r>
        <w:t>ía</w:t>
      </w:r>
      <w:r w:rsidR="00750B06">
        <w:t xml:space="preserve"> (DNE)</w:t>
      </w:r>
      <w:r>
        <w:t>.</w:t>
      </w:r>
    </w:p>
    <w:p w14:paraId="7463E889" w14:textId="17123C3F" w:rsidR="006601D5" w:rsidRPr="00D80478" w:rsidRDefault="005314FE" w:rsidP="0016470F">
      <w:pPr>
        <w:ind w:left="0" w:hanging="2"/>
        <w:jc w:val="both"/>
      </w:pPr>
      <w:r w:rsidRPr="00D80478">
        <w:t>A través de la Ley de Presupuesto Nacional</w:t>
      </w:r>
      <w:r w:rsidR="0047485B">
        <w:t xml:space="preserve"> N° 19.924 de 18 de diciembre de 2020</w:t>
      </w:r>
      <w:r w:rsidR="00FF4F49">
        <w:t>,</w:t>
      </w:r>
      <w:r w:rsidR="0047485B">
        <w:t xml:space="preserve"> que comenzó a regir el 1 de enero de 2021,</w:t>
      </w:r>
      <w:r w:rsidRPr="00D80478">
        <w:t xml:space="preserve"> se introdujeron cambio</w:t>
      </w:r>
      <w:r w:rsidR="006601D5" w:rsidRPr="00D80478">
        <w:t>s en la normativa que permitieron flexibilizar esta herramienta,</w:t>
      </w:r>
      <w:r w:rsidR="0016470F" w:rsidRPr="00D80478">
        <w:t xml:space="preserve"> ampliando las posibilidades de acción</w:t>
      </w:r>
      <w:r w:rsidR="0047485B">
        <w:t xml:space="preserve"> del Fideicomiso</w:t>
      </w:r>
      <w:r w:rsidR="0016470F" w:rsidRPr="00D80478">
        <w:t xml:space="preserve">. </w:t>
      </w:r>
      <w:r w:rsidR="0016470F" w:rsidRPr="001454D7">
        <w:t xml:space="preserve">Entre otras </w:t>
      </w:r>
      <w:r w:rsidR="0047485B" w:rsidRPr="001454D7">
        <w:t>modificaciones</w:t>
      </w:r>
      <w:r w:rsidR="0016470F" w:rsidRPr="001454D7">
        <w:t xml:space="preserve"> se </w:t>
      </w:r>
      <w:r w:rsidR="0047485B" w:rsidRPr="001454D7">
        <w:t xml:space="preserve">otorgó competencia al </w:t>
      </w:r>
      <w:r w:rsidR="00F2296E">
        <w:t>Fudaee</w:t>
      </w:r>
      <w:r w:rsidR="0047485B" w:rsidRPr="001454D7">
        <w:t xml:space="preserve"> para realizar </w:t>
      </w:r>
      <w:r w:rsidR="0016470F" w:rsidRPr="001454D7">
        <w:t xml:space="preserve">el </w:t>
      </w:r>
      <w:r w:rsidR="006601D5" w:rsidRPr="001454D7">
        <w:t>financiamiento directo de proyectos de eficiencia</w:t>
      </w:r>
      <w:r w:rsidR="0047485B" w:rsidRPr="001454D7">
        <w:t xml:space="preserve"> energética</w:t>
      </w:r>
      <w:r w:rsidR="0047485B">
        <w:t>, de acuerdo a lo previsto por el artículo 19, literal B) de la Ley N° 18.597.</w:t>
      </w:r>
    </w:p>
    <w:p w14:paraId="0374FB9F" w14:textId="77656E99" w:rsidR="0016470F" w:rsidRPr="00D80478" w:rsidRDefault="003E42E4" w:rsidP="0016470F">
      <w:pPr>
        <w:ind w:left="0" w:hanging="2"/>
        <w:jc w:val="both"/>
      </w:pPr>
      <w:r w:rsidRPr="00D80478">
        <w:t>Por su parte</w:t>
      </w:r>
      <w:r w:rsidR="0047485B">
        <w:t>,</w:t>
      </w:r>
      <w:r w:rsidRPr="00D80478">
        <w:t xml:space="preserve"> la</w:t>
      </w:r>
      <w:r w:rsidR="006601D5" w:rsidRPr="00D80478">
        <w:t xml:space="preserve"> actual administración</w:t>
      </w:r>
      <w:r w:rsidRPr="00D80478">
        <w:t xml:space="preserve"> ha decidido </w:t>
      </w:r>
      <w:r w:rsidR="0016470F" w:rsidRPr="00D80478">
        <w:t>priorizar</w:t>
      </w:r>
      <w:r w:rsidRPr="00D80478">
        <w:t xml:space="preserve"> las líneas de trabajo en el territorio </w:t>
      </w:r>
      <w:r w:rsidR="0047485B">
        <w:t xml:space="preserve">nacional </w:t>
      </w:r>
      <w:r w:rsidR="0016470F" w:rsidRPr="00D80478">
        <w:t xml:space="preserve">que permitan un </w:t>
      </w:r>
      <w:r w:rsidRPr="00D80478">
        <w:t xml:space="preserve">involucramiento activo de las autoridades y </w:t>
      </w:r>
      <w:r w:rsidR="0016470F" w:rsidRPr="00D80478">
        <w:t>comunidades locales en los procesos de difusión y apropiación de las tecnologías eficientes.</w:t>
      </w:r>
      <w:r w:rsidR="00FF4F49">
        <w:t xml:space="preserve"> </w:t>
      </w:r>
      <w:r w:rsidR="0016470F" w:rsidRPr="00D80478">
        <w:t xml:space="preserve">El programa </w:t>
      </w:r>
      <w:r w:rsidR="0097352E">
        <w:t>Localidades Eficientes</w:t>
      </w:r>
      <w:r w:rsidR="0016470F" w:rsidRPr="00D80478">
        <w:t xml:space="preserve"> constituye un hito relevante que refuerza esta línea de trabajo.</w:t>
      </w:r>
      <w:r w:rsidR="00F260B8">
        <w:t xml:space="preserve"> </w:t>
      </w:r>
    </w:p>
    <w:p w14:paraId="1FCEF780" w14:textId="0ABD804A" w:rsidR="00752B3F" w:rsidRDefault="00752B3F">
      <w:pPr>
        <w:suppressAutoHyphens w:val="0"/>
        <w:ind w:leftChars="0" w:left="0" w:firstLineChars="0"/>
        <w:textDirection w:val="lrTb"/>
        <w:textAlignment w:val="auto"/>
        <w:outlineLvl w:val="9"/>
        <w:rPr>
          <w:lang w:eastAsia="es-UY"/>
        </w:rPr>
      </w:pPr>
      <w:r>
        <w:rPr>
          <w:lang w:eastAsia="es-UY"/>
        </w:rPr>
        <w:br w:type="page"/>
      </w:r>
    </w:p>
    <w:p w14:paraId="22EF5F6A" w14:textId="77777777" w:rsidR="00745A8D" w:rsidRDefault="00745A8D" w:rsidP="00745A8D">
      <w:pPr>
        <w:ind w:left="0" w:hanging="2"/>
        <w:jc w:val="both"/>
        <w:rPr>
          <w:lang w:eastAsia="es-UY"/>
        </w:rPr>
      </w:pPr>
    </w:p>
    <w:p w14:paraId="61F9BCBE" w14:textId="77777777" w:rsidR="00745A8D" w:rsidRDefault="00745A8D" w:rsidP="00745A8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1" w:hanging="3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Objetivos</w:t>
      </w:r>
    </w:p>
    <w:p w14:paraId="44CABDA8" w14:textId="7995BBF6" w:rsidR="00745A8D" w:rsidRDefault="00745A8D" w:rsidP="00752B3F">
      <w:pPr>
        <w:ind w:left="0" w:hanging="2"/>
        <w:jc w:val="both"/>
      </w:pPr>
      <w:r>
        <w:t xml:space="preserve">El objetivo de este programa es apoyar </w:t>
      </w:r>
      <w:r w:rsidRPr="001454D7">
        <w:t xml:space="preserve">la implementación de proyectos de eficiencia energética </w:t>
      </w:r>
      <w:r w:rsidR="007901A7" w:rsidRPr="001454D7">
        <w:t>o demostrativos de</w:t>
      </w:r>
      <w:r w:rsidRPr="001454D7">
        <w:t xml:space="preserve"> tecnologías eficientes</w:t>
      </w:r>
      <w:r>
        <w:t xml:space="preserve"> en las localidades de todo el país. </w:t>
      </w:r>
      <w:r w:rsidR="00FC6CEF">
        <w:t>Asimismo, se busca estimular la participación</w:t>
      </w:r>
      <w:r w:rsidR="00181856">
        <w:t xml:space="preserve"> de</w:t>
      </w:r>
      <w:r w:rsidR="00FC6CEF">
        <w:t xml:space="preserve"> organizaciones de la sociedad civil y organizaciones empresariales.</w:t>
      </w:r>
    </w:p>
    <w:p w14:paraId="30DAC0CE" w14:textId="77777777" w:rsidR="00745A8D" w:rsidRDefault="00745A8D" w:rsidP="00745A8D">
      <w:pPr>
        <w:ind w:left="0" w:hanging="2"/>
        <w:jc w:val="both"/>
      </w:pPr>
    </w:p>
    <w:p w14:paraId="7388DAF1" w14:textId="3C9D380A" w:rsidR="00745A8D" w:rsidRDefault="00745A8D" w:rsidP="00745A8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1" w:hanging="3"/>
        <w:jc w:val="both"/>
        <w:rPr>
          <w:b/>
          <w:color w:val="00B050"/>
          <w:sz w:val="28"/>
          <w:szCs w:val="28"/>
        </w:rPr>
      </w:pPr>
      <w:r w:rsidRPr="00BF0BF1">
        <w:rPr>
          <w:b/>
          <w:color w:val="00B050"/>
          <w:sz w:val="28"/>
          <w:szCs w:val="28"/>
        </w:rPr>
        <w:t xml:space="preserve">Beneficiarios </w:t>
      </w:r>
    </w:p>
    <w:p w14:paraId="757CAD37" w14:textId="38B36194" w:rsidR="00745A8D" w:rsidRDefault="002D1227" w:rsidP="00745A8D">
      <w:pPr>
        <w:ind w:left="0" w:hanging="2"/>
        <w:jc w:val="both"/>
      </w:pPr>
      <w:r>
        <w:t>Podrán postularse a la presente convocatoria todas las localidades del país</w:t>
      </w:r>
      <w:r w:rsidR="004A0397">
        <w:t xml:space="preserve"> a iniciativa </w:t>
      </w:r>
      <w:r>
        <w:t xml:space="preserve">de los Gobiernos Departamentales, Municipales o </w:t>
      </w:r>
      <w:r w:rsidRPr="007B7CD2">
        <w:rPr>
          <w:color w:val="000000" w:themeColor="text1"/>
        </w:rPr>
        <w:t>Autoridades Locales</w:t>
      </w:r>
      <w:r w:rsidR="00AA7441">
        <w:rPr>
          <w:color w:val="000000" w:themeColor="text1"/>
        </w:rPr>
        <w:t xml:space="preserve"> del Gobierno Departamental </w:t>
      </w:r>
      <w:r w:rsidRPr="007B7CD2">
        <w:rPr>
          <w:color w:val="000000" w:themeColor="text1"/>
        </w:rPr>
        <w:t>c</w:t>
      </w:r>
      <w:r>
        <w:t>orrespondiente</w:t>
      </w:r>
      <w:r w:rsidR="004A38CC">
        <w:t xml:space="preserve">, quienes serán los </w:t>
      </w:r>
      <w:r w:rsidR="001702A2">
        <w:t>T</w:t>
      </w:r>
      <w:r w:rsidR="004A38CC">
        <w:t>itulares del proyecto</w:t>
      </w:r>
      <w:r>
        <w:t>.</w:t>
      </w:r>
      <w:r w:rsidR="00EF057A">
        <w:t xml:space="preserve"> </w:t>
      </w:r>
      <w:r w:rsidR="00DC55E3">
        <w:t>Se habilitará la presentación de postulaciones conjuntas entre más de una localidad</w:t>
      </w:r>
      <w:r w:rsidR="008F7E3F">
        <w:t xml:space="preserve"> en el mismo D</w:t>
      </w:r>
      <w:r w:rsidR="009D057C">
        <w:t>epartamento</w:t>
      </w:r>
      <w:r w:rsidR="00DC55E3">
        <w:t>.</w:t>
      </w:r>
      <w:r w:rsidR="00DC55E3">
        <w:rPr>
          <w:rStyle w:val="Refdenotaalpie"/>
        </w:rPr>
        <w:footnoteReference w:id="2"/>
      </w:r>
    </w:p>
    <w:p w14:paraId="77CDA0FE" w14:textId="43D34B2A" w:rsidR="00165B54" w:rsidRDefault="00165B54" w:rsidP="00745A8D">
      <w:pPr>
        <w:ind w:left="0" w:hanging="2"/>
        <w:jc w:val="both"/>
      </w:pPr>
      <w:r>
        <w:t xml:space="preserve">No se aceptarán propuestas de localidades que al momento de cierre de la presente convocatoria tengan proyectos inconclusos de ediciones anteriores de los programas de Localidades Eficientes. </w:t>
      </w:r>
    </w:p>
    <w:p w14:paraId="36AD01FC" w14:textId="77777777" w:rsidR="0031515C" w:rsidRDefault="0031515C" w:rsidP="00745A8D">
      <w:pPr>
        <w:ind w:left="0" w:hanging="2"/>
        <w:jc w:val="both"/>
      </w:pPr>
    </w:p>
    <w:p w14:paraId="794857A9" w14:textId="3A0AF7B8" w:rsidR="00BC4344" w:rsidRDefault="00BC4344" w:rsidP="00BC4344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1" w:hanging="3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Convocatoria</w:t>
      </w:r>
    </w:p>
    <w:p w14:paraId="5284E7FB" w14:textId="16947CFF" w:rsidR="00745A8D" w:rsidRDefault="00BC4344" w:rsidP="00745A8D">
      <w:pPr>
        <w:ind w:left="0" w:hanging="2"/>
        <w:jc w:val="both"/>
      </w:pPr>
      <w:r>
        <w:t>S</w:t>
      </w:r>
      <w:r w:rsidR="00644332">
        <w:t>e aprobarán un máximo de 20 proyectos en total, asignándose al menos uno a cada Departamento</w:t>
      </w:r>
      <w:r w:rsidR="00FD63BB">
        <w:t xml:space="preserve">. </w:t>
      </w:r>
      <w:r w:rsidR="00ED5169">
        <w:t xml:space="preserve">En </w:t>
      </w:r>
      <w:r w:rsidR="008E0E47">
        <w:t xml:space="preserve">el </w:t>
      </w:r>
      <w:r w:rsidR="00ED5169">
        <w:t xml:space="preserve">caso que no se presenten </w:t>
      </w:r>
      <w:r w:rsidR="007B7CD2">
        <w:t xml:space="preserve">postulaciones </w:t>
      </w:r>
      <w:r w:rsidR="00ED5169">
        <w:t xml:space="preserve">en un </w:t>
      </w:r>
      <w:r w:rsidR="007B7CD2">
        <w:t>D</w:t>
      </w:r>
      <w:r w:rsidR="00ED5169">
        <w:t>epartamento</w:t>
      </w:r>
      <w:r w:rsidR="00784731">
        <w:t>,</w:t>
      </w:r>
      <w:r w:rsidR="00806C65">
        <w:t xml:space="preserve"> o bien que </w:t>
      </w:r>
      <w:r w:rsidR="00B51FC5">
        <w:t xml:space="preserve">estas </w:t>
      </w:r>
      <w:r w:rsidR="00806C65">
        <w:t>no cumplan los requisitos mínimos para ser aprobadas,</w:t>
      </w:r>
      <w:r w:rsidR="004B59BE">
        <w:t xml:space="preserve"> </w:t>
      </w:r>
      <w:r w:rsidR="00ED5169">
        <w:t xml:space="preserve">el comité evaluador reasignará ese cupo a otro </w:t>
      </w:r>
      <w:r w:rsidR="0047485B">
        <w:t>D</w:t>
      </w:r>
      <w:r w:rsidR="00ED5169">
        <w:t>epartamento.</w:t>
      </w:r>
    </w:p>
    <w:p w14:paraId="04834620" w14:textId="0DC67F45" w:rsidR="00806C65" w:rsidRDefault="00806C65" w:rsidP="00806C65">
      <w:pPr>
        <w:ind w:left="0" w:hanging="2"/>
        <w:jc w:val="both"/>
      </w:pPr>
      <w:r>
        <w:t>No hay límites respecto a la cantidad de postulaciones que puede presentar una autoridad para la o las localidades dentro de su jurisdicción. No obstante, solo se podrá aprobar un proyecto por cada localidad. Las localidades que resulten beneficiarias, no serán priorizadas en futuras convocatorias.</w:t>
      </w:r>
    </w:p>
    <w:p w14:paraId="2F899860" w14:textId="77777777" w:rsidR="00752B3F" w:rsidRDefault="00745A8D" w:rsidP="00745A8D">
      <w:pPr>
        <w:ind w:left="0" w:hanging="2"/>
        <w:jc w:val="both"/>
      </w:pPr>
      <w:r>
        <w:t xml:space="preserve">Los proyectos beneficiarios deberán ser implementados en espacios públicos, o bien en espacios privados pertenecientes a Instituciones privadas sin fines de lucro. </w:t>
      </w:r>
      <w:r w:rsidR="00FC6CEF">
        <w:t xml:space="preserve">Quedan excluidos </w:t>
      </w:r>
      <w:r w:rsidR="007B7CD2">
        <w:t xml:space="preserve">los </w:t>
      </w:r>
      <w:r w:rsidR="00FC6CEF">
        <w:t>espacios residenciales y de empresas.</w:t>
      </w:r>
      <w:r w:rsidR="00784731">
        <w:t xml:space="preserve"> </w:t>
      </w:r>
    </w:p>
    <w:p w14:paraId="38A20859" w14:textId="16E7A305" w:rsidR="008301CD" w:rsidRPr="009D057C" w:rsidRDefault="00DC55E3" w:rsidP="00745A8D">
      <w:pPr>
        <w:ind w:left="0" w:hanging="2"/>
        <w:jc w:val="both"/>
      </w:pPr>
      <w:r>
        <w:t xml:space="preserve">En caso de presentarse postulaciones en instituciones privadas, </w:t>
      </w:r>
      <w:r w:rsidR="00B51FC5">
        <w:t xml:space="preserve">estas </w:t>
      </w:r>
      <w:r>
        <w:t xml:space="preserve">deberán </w:t>
      </w:r>
      <w:r w:rsidR="00431621">
        <w:t>acompañarse con la firma de los responsables de la institución involucrada</w:t>
      </w:r>
      <w:r>
        <w:t>.</w:t>
      </w:r>
      <w:r w:rsidR="00752B3F">
        <w:t xml:space="preserve"> </w:t>
      </w:r>
      <w:r w:rsidR="008301CD" w:rsidRPr="009D057C">
        <w:t>Los proyectos</w:t>
      </w:r>
      <w:r w:rsidR="00752B3F" w:rsidRPr="009D057C">
        <w:t xml:space="preserve"> mixtos</w:t>
      </w:r>
      <w:r w:rsidR="008301CD" w:rsidRPr="009D057C">
        <w:t xml:space="preserve"> que incluyan espacios públicos y privados serán </w:t>
      </w:r>
      <w:r w:rsidR="00D81670">
        <w:t>considerados</w:t>
      </w:r>
      <w:r w:rsidR="008301CD" w:rsidRPr="009D057C">
        <w:t xml:space="preserve"> c</w:t>
      </w:r>
      <w:r w:rsidR="000A5C82">
        <w:t>o</w:t>
      </w:r>
      <w:r w:rsidR="008301CD" w:rsidRPr="009D057C">
        <w:t>mo privados puros</w:t>
      </w:r>
      <w:r w:rsidR="00D81670">
        <w:t xml:space="preserve"> a los efectos de la asignación de puntaje durante la evaluación</w:t>
      </w:r>
      <w:r w:rsidR="008301CD" w:rsidRPr="009D057C">
        <w:t>.</w:t>
      </w:r>
    </w:p>
    <w:p w14:paraId="3E36831A" w14:textId="614AB901" w:rsidR="00745A8D" w:rsidRDefault="00745A8D" w:rsidP="00745A8D">
      <w:pPr>
        <w:ind w:left="0" w:hanging="2"/>
        <w:jc w:val="both"/>
      </w:pPr>
    </w:p>
    <w:p w14:paraId="2A5469F0" w14:textId="77777777" w:rsidR="0031515C" w:rsidRDefault="0031515C">
      <w:pPr>
        <w:suppressAutoHyphens w:val="0"/>
        <w:ind w:leftChars="0" w:left="0" w:firstLineChars="0"/>
        <w:textDirection w:val="lrTb"/>
        <w:textAlignment w:val="auto"/>
        <w:outlineLvl w:val="9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br w:type="page"/>
      </w:r>
    </w:p>
    <w:p w14:paraId="7294F77B" w14:textId="60154066" w:rsidR="00745A8D" w:rsidRDefault="00745A8D" w:rsidP="00745A8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1" w:hanging="3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Beneficios</w:t>
      </w:r>
    </w:p>
    <w:p w14:paraId="71C3C86B" w14:textId="0D05F11B" w:rsidR="00806C65" w:rsidRDefault="00745A8D" w:rsidP="00806C65">
      <w:pPr>
        <w:ind w:left="0" w:hanging="2"/>
        <w:jc w:val="both"/>
      </w:pPr>
      <w:r>
        <w:t>Los proyectos</w:t>
      </w:r>
      <w:r w:rsidR="007B7CD2">
        <w:t xml:space="preserve"> que resulten aprobados</w:t>
      </w:r>
      <w:r>
        <w:t xml:space="preserve"> recibirán apoyo financiero no reembolsable a cargo de la DNE</w:t>
      </w:r>
      <w:r w:rsidR="007B7CD2">
        <w:t>,</w:t>
      </w:r>
      <w:r>
        <w:t xml:space="preserve"> cuyo porcentaje </w:t>
      </w:r>
      <w:r w:rsidR="00BC4344" w:rsidRPr="009D057C">
        <w:t>máximo</w:t>
      </w:r>
      <w:r w:rsidR="00BC4344">
        <w:t xml:space="preserve"> </w:t>
      </w:r>
      <w:r>
        <w:t>se indica en la siguiente tabla.</w:t>
      </w:r>
      <w:r w:rsidR="00806C65">
        <w:t xml:space="preserve"> El monto máximo financiable por parte de DNE será de </w:t>
      </w:r>
      <w:r w:rsidR="00806C65" w:rsidRPr="00165B54">
        <w:t xml:space="preserve">$ </w:t>
      </w:r>
      <w:r w:rsidR="00035212" w:rsidRPr="00165B54">
        <w:t>8</w:t>
      </w:r>
      <w:r w:rsidR="003B2DF2" w:rsidRPr="00165B54">
        <w:t>5</w:t>
      </w:r>
      <w:r w:rsidR="00035212" w:rsidRPr="00165B54">
        <w:t>0</w:t>
      </w:r>
      <w:r w:rsidR="00806C65" w:rsidRPr="00165B54">
        <w:t>.000 (</w:t>
      </w:r>
      <w:r w:rsidR="00035212" w:rsidRPr="00165B54">
        <w:t>ochocientos</w:t>
      </w:r>
      <w:r w:rsidR="003B2DF2" w:rsidRPr="00165B54">
        <w:t xml:space="preserve"> cincuenta</w:t>
      </w:r>
      <w:r w:rsidR="00035212" w:rsidRPr="00165B54">
        <w:t xml:space="preserve"> </w:t>
      </w:r>
      <w:r w:rsidR="00806C65" w:rsidRPr="00165B54">
        <w:t>mil pesos uruguayos)</w:t>
      </w:r>
      <w:r w:rsidR="00806C65" w:rsidRPr="009D057C">
        <w:t xml:space="preserve"> </w:t>
      </w:r>
      <w:r w:rsidR="00806C65">
        <w:t>por proyecto. No existe tope para el monto total del proyecto</w:t>
      </w:r>
      <w:r w:rsidR="00035212">
        <w:t xml:space="preserve">, pero </w:t>
      </w:r>
      <w:r w:rsidR="00B51FC5">
        <w:t xml:space="preserve">este </w:t>
      </w:r>
      <w:r w:rsidR="002F20A7">
        <w:t xml:space="preserve">debe ser autocontenido, es decir, </w:t>
      </w:r>
      <w:r w:rsidR="00035212">
        <w:t xml:space="preserve">su ejecución </w:t>
      </w:r>
      <w:r w:rsidR="00AF1E9D">
        <w:t xml:space="preserve">debe ser independiente de </w:t>
      </w:r>
      <w:r w:rsidR="00035212">
        <w:t>otros proyectos</w:t>
      </w:r>
      <w:r w:rsidR="00806C65">
        <w:t>.</w:t>
      </w:r>
    </w:p>
    <w:p w14:paraId="7EECA575" w14:textId="77777777" w:rsidR="00806C65" w:rsidRDefault="00806C65" w:rsidP="00745A8D">
      <w:pPr>
        <w:ind w:left="0" w:hanging="2"/>
        <w:jc w:val="both"/>
      </w:pPr>
    </w:p>
    <w:p w14:paraId="6B90725B" w14:textId="5D53BA3F" w:rsidR="00924990" w:rsidRDefault="00924990" w:rsidP="00745A8D">
      <w:pPr>
        <w:ind w:left="0" w:hanging="2"/>
        <w:jc w:val="both"/>
      </w:pPr>
      <w:r>
        <w:t xml:space="preserve">TABLA </w:t>
      </w:r>
      <w:r w:rsidR="006601D5">
        <w:t>INDICATIVA DE APORTES DE DNE AL PROYECTO</w:t>
      </w:r>
    </w:p>
    <w:tbl>
      <w:tblPr>
        <w:tblW w:w="94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1037"/>
        <w:gridCol w:w="1379"/>
        <w:gridCol w:w="1037"/>
        <w:gridCol w:w="1379"/>
      </w:tblGrid>
      <w:tr w:rsidR="00EE74ED" w:rsidRPr="00EE74ED" w14:paraId="64511FE9" w14:textId="77777777" w:rsidTr="00EE74ED">
        <w:trPr>
          <w:trHeight w:val="300"/>
        </w:trPr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13B5" w14:textId="69AA41C7" w:rsidR="00EE74ED" w:rsidRPr="00EE74ED" w:rsidRDefault="00EE74ED" w:rsidP="000659F9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  <w:t>Propiedad del Predio o Edificio donde se implementa</w:t>
            </w:r>
            <w:r w:rsidR="00BC66AE">
              <w:rPr>
                <w:rStyle w:val="Refdenotaalpie"/>
                <w:rFonts w:eastAsia="Times New Roman" w:cs="Times New Roman"/>
                <w:color w:val="000000"/>
                <w:sz w:val="20"/>
                <w:szCs w:val="20"/>
                <w:lang w:eastAsia="es-UY"/>
              </w:rPr>
              <w:footnoteReference w:id="3"/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8B91A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  <w:t>PÚBLICO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21D0B" w14:textId="06609BD5" w:rsidR="00EE74ED" w:rsidRPr="00EE74ED" w:rsidRDefault="00B55878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</w:pPr>
            <w:r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  <w:t>PRIVADO</w:t>
            </w:r>
          </w:p>
        </w:tc>
      </w:tr>
      <w:tr w:rsidR="00EE74ED" w:rsidRPr="00EE74ED" w14:paraId="4B76379F" w14:textId="77777777" w:rsidTr="00EE74ED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223A9" w14:textId="47386796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  <w:t>Porcentaje de Aporte Privado</w:t>
            </w:r>
            <w:r>
              <w:rPr>
                <w:rStyle w:val="Refdenotaalpie"/>
                <w:rFonts w:eastAsia="Times New Roman" w:cs="Times New Roman"/>
                <w:color w:val="000000"/>
                <w:sz w:val="20"/>
                <w:szCs w:val="20"/>
                <w:lang w:eastAsia="es-UY"/>
              </w:rPr>
              <w:footnoteReference w:id="4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EC117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  <w:t>No Hay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2801F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  <w:t xml:space="preserve"> ≥ de 10%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0D43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  <w:t>No Hay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BA1AD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  <w:t xml:space="preserve"> ≥ de 10%</w:t>
            </w:r>
          </w:p>
        </w:tc>
      </w:tr>
      <w:tr w:rsidR="00EE74ED" w:rsidRPr="00EE74ED" w14:paraId="1208359C" w14:textId="77777777" w:rsidTr="00EE74ED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140BD6F" w14:textId="5808B7D9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  <w:t xml:space="preserve">Población </w:t>
            </w:r>
            <w:r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  <w:t xml:space="preserve">de la </w:t>
            </w:r>
            <w:r w:rsidRPr="00EE74ED"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  <w:t>Localidad (hab</w:t>
            </w:r>
            <w:r w:rsidR="000E359C"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  <w:t>itantes</w:t>
            </w:r>
            <w:r w:rsidRPr="00EE74ED">
              <w:rPr>
                <w:rFonts w:eastAsia="Times New Roman" w:cs="Times New Roman"/>
                <w:color w:val="000000"/>
                <w:position w:val="0"/>
                <w:sz w:val="20"/>
                <w:szCs w:val="20"/>
                <w:lang w:eastAsia="es-UY"/>
              </w:rPr>
              <w:t>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BB009A9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B6F9D65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3F5EF0D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E0AAE0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 </w:t>
            </w:r>
          </w:p>
        </w:tc>
      </w:tr>
      <w:tr w:rsidR="00EE74ED" w:rsidRPr="00EE74ED" w14:paraId="3E033411" w14:textId="77777777" w:rsidTr="00EE74ED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FFD5A2B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i/>
                <w:color w:val="000000"/>
                <w:position w:val="0"/>
                <w:sz w:val="20"/>
                <w:lang w:eastAsia="es-UY"/>
              </w:rPr>
            </w:pPr>
            <w:r w:rsidRPr="00EE74ED">
              <w:rPr>
                <w:rFonts w:eastAsia="Times New Roman" w:cs="Times New Roman"/>
                <w:i/>
                <w:color w:val="000000"/>
                <w:position w:val="0"/>
                <w:sz w:val="20"/>
                <w:lang w:eastAsia="es-UY"/>
              </w:rPr>
              <w:t>0 - 5.000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1578FBD1" w14:textId="0800D162" w:rsidR="00EE74ED" w:rsidRPr="00EE74ED" w:rsidRDefault="009D057C" w:rsidP="009D057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8</w:t>
            </w:r>
            <w:r>
              <w:rPr>
                <w:rFonts w:eastAsia="Times New Roman" w:cs="Times New Roman"/>
                <w:color w:val="000000"/>
                <w:position w:val="0"/>
                <w:lang w:eastAsia="es-UY"/>
              </w:rPr>
              <w:t>0</w:t>
            </w:r>
            <w:r w:rsidR="00EE74ED"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5D612C62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90%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73F092ED" w14:textId="226D4BE2" w:rsidR="00EE74ED" w:rsidRPr="00EE74ED" w:rsidRDefault="009D057C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>
              <w:rPr>
                <w:rFonts w:eastAsia="Times New Roman" w:cs="Times New Roman"/>
                <w:color w:val="000000"/>
                <w:position w:val="0"/>
                <w:lang w:eastAsia="es-UY"/>
              </w:rPr>
              <w:t>6</w:t>
            </w: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5</w:t>
            </w:r>
            <w:r w:rsidR="00EE74ED"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6F417A71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80%</w:t>
            </w:r>
          </w:p>
        </w:tc>
      </w:tr>
      <w:tr w:rsidR="00EE74ED" w:rsidRPr="00EE74ED" w14:paraId="3C105F51" w14:textId="77777777" w:rsidTr="00EE74ED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BF14320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i/>
                <w:color w:val="000000"/>
                <w:position w:val="0"/>
                <w:sz w:val="20"/>
                <w:lang w:eastAsia="es-UY"/>
              </w:rPr>
            </w:pPr>
            <w:r w:rsidRPr="00EE74ED">
              <w:rPr>
                <w:rFonts w:eastAsia="Times New Roman" w:cs="Times New Roman"/>
                <w:i/>
                <w:color w:val="000000"/>
                <w:position w:val="0"/>
                <w:sz w:val="20"/>
                <w:lang w:eastAsia="es-UY"/>
              </w:rPr>
              <w:t>5.000 - 10.000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11A8D907" w14:textId="154C06B4" w:rsidR="00EE74ED" w:rsidRPr="00EE74ED" w:rsidRDefault="009D057C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>
              <w:rPr>
                <w:rFonts w:eastAsia="Times New Roman" w:cs="Times New Roman"/>
                <w:color w:val="000000"/>
                <w:position w:val="0"/>
                <w:lang w:eastAsia="es-UY"/>
              </w:rPr>
              <w:t>75</w:t>
            </w:r>
            <w:r w:rsidR="00EE74ED"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159A9014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85%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6595FB06" w14:textId="20A9E0A3" w:rsidR="00EE74ED" w:rsidRPr="00EE74ED" w:rsidRDefault="009D057C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>
              <w:rPr>
                <w:rFonts w:eastAsia="Times New Roman" w:cs="Times New Roman"/>
                <w:color w:val="000000"/>
                <w:position w:val="0"/>
                <w:lang w:eastAsia="es-UY"/>
              </w:rPr>
              <w:t>6</w:t>
            </w:r>
            <w:r w:rsidR="00EE74ED"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5CBF204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75%</w:t>
            </w:r>
          </w:p>
        </w:tc>
      </w:tr>
      <w:tr w:rsidR="00EE74ED" w:rsidRPr="00EE74ED" w14:paraId="0C6058BE" w14:textId="77777777" w:rsidTr="00EE74ED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B25746D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i/>
                <w:color w:val="000000"/>
                <w:position w:val="0"/>
                <w:sz w:val="20"/>
                <w:lang w:eastAsia="es-UY"/>
              </w:rPr>
            </w:pPr>
            <w:r w:rsidRPr="00EE74ED">
              <w:rPr>
                <w:rFonts w:eastAsia="Times New Roman" w:cs="Times New Roman"/>
                <w:i/>
                <w:color w:val="000000"/>
                <w:position w:val="0"/>
                <w:sz w:val="20"/>
                <w:lang w:eastAsia="es-UY"/>
              </w:rPr>
              <w:t>10.000 - 20.000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6F056CF" w14:textId="301B9E5D" w:rsidR="00EE74ED" w:rsidRPr="00EE74ED" w:rsidRDefault="009D057C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>
              <w:rPr>
                <w:rFonts w:eastAsia="Times New Roman" w:cs="Times New Roman"/>
                <w:color w:val="000000"/>
                <w:position w:val="0"/>
                <w:lang w:eastAsia="es-UY"/>
              </w:rPr>
              <w:t>70</w:t>
            </w:r>
            <w:r w:rsidR="00EE74ED"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0D3F1B8B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80%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9105CE4" w14:textId="2E9724C3" w:rsidR="00EE74ED" w:rsidRPr="00EE74ED" w:rsidRDefault="009D057C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>
              <w:rPr>
                <w:rFonts w:eastAsia="Times New Roman" w:cs="Times New Roman"/>
                <w:color w:val="000000"/>
                <w:position w:val="0"/>
                <w:lang w:eastAsia="es-UY"/>
              </w:rPr>
              <w:t>55</w:t>
            </w:r>
            <w:r w:rsidR="00EE74ED"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13C875EA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70%</w:t>
            </w:r>
          </w:p>
        </w:tc>
      </w:tr>
      <w:tr w:rsidR="00EE74ED" w:rsidRPr="00EE74ED" w14:paraId="12EF790E" w14:textId="77777777" w:rsidTr="00EE74ED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739367B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i/>
                <w:color w:val="000000"/>
                <w:position w:val="0"/>
                <w:sz w:val="20"/>
                <w:lang w:eastAsia="es-UY"/>
              </w:rPr>
            </w:pPr>
            <w:r w:rsidRPr="00EE74ED">
              <w:rPr>
                <w:rFonts w:eastAsia="Times New Roman" w:cs="Times New Roman"/>
                <w:i/>
                <w:color w:val="000000"/>
                <w:position w:val="0"/>
                <w:sz w:val="20"/>
                <w:lang w:eastAsia="es-UY"/>
              </w:rPr>
              <w:t>20.000 - 50.000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18EBF523" w14:textId="776A118C" w:rsidR="00EE74ED" w:rsidRPr="00EE74ED" w:rsidRDefault="009D057C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>
              <w:rPr>
                <w:rFonts w:eastAsia="Times New Roman" w:cs="Times New Roman"/>
                <w:color w:val="000000"/>
                <w:position w:val="0"/>
                <w:lang w:eastAsia="es-UY"/>
              </w:rPr>
              <w:t>65</w:t>
            </w:r>
            <w:r w:rsidR="00EE74ED"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2F27FB22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75%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2BDA22C4" w14:textId="3B30175A" w:rsidR="00EE74ED" w:rsidRPr="00EE74ED" w:rsidRDefault="009D057C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>
              <w:rPr>
                <w:rFonts w:eastAsia="Times New Roman" w:cs="Times New Roman"/>
                <w:color w:val="000000"/>
                <w:position w:val="0"/>
                <w:lang w:eastAsia="es-UY"/>
              </w:rPr>
              <w:t>50</w:t>
            </w:r>
            <w:r w:rsidR="00EE74ED"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6A7483C1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65%</w:t>
            </w:r>
          </w:p>
        </w:tc>
      </w:tr>
      <w:tr w:rsidR="00EE74ED" w:rsidRPr="00EE74ED" w14:paraId="06E2D600" w14:textId="77777777" w:rsidTr="00EE74ED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3BDD2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i/>
                <w:color w:val="000000"/>
                <w:position w:val="0"/>
                <w:sz w:val="20"/>
                <w:lang w:eastAsia="es-UY"/>
              </w:rPr>
            </w:pPr>
            <w:r w:rsidRPr="00EE74ED">
              <w:rPr>
                <w:rFonts w:eastAsia="Times New Roman" w:cs="Times New Roman"/>
                <w:i/>
                <w:color w:val="000000"/>
                <w:position w:val="0"/>
                <w:sz w:val="20"/>
                <w:lang w:eastAsia="es-UY"/>
              </w:rPr>
              <w:t>Más de 50.000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5C974" w14:textId="3EFCBC53" w:rsidR="00EE74ED" w:rsidRPr="00EE74ED" w:rsidRDefault="009D057C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>
              <w:rPr>
                <w:rFonts w:eastAsia="Times New Roman" w:cs="Times New Roman"/>
                <w:color w:val="000000"/>
                <w:position w:val="0"/>
                <w:lang w:eastAsia="es-UY"/>
              </w:rPr>
              <w:t>60</w:t>
            </w:r>
            <w:r w:rsidR="00EE74ED"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E2868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70%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D947" w14:textId="00D193D3" w:rsidR="00EE74ED" w:rsidRPr="00EE74ED" w:rsidRDefault="009D057C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>
              <w:rPr>
                <w:rFonts w:eastAsia="Times New Roman" w:cs="Times New Roman"/>
                <w:color w:val="000000"/>
                <w:position w:val="0"/>
                <w:lang w:eastAsia="es-UY"/>
              </w:rPr>
              <w:t>45</w:t>
            </w:r>
            <w:r w:rsidR="00EE74ED"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34CF" w14:textId="77777777" w:rsidR="00EE74ED" w:rsidRPr="00EE74ED" w:rsidRDefault="00EE74ED" w:rsidP="00EE74E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UY"/>
              </w:rPr>
            </w:pPr>
            <w:r w:rsidRPr="00EE74ED">
              <w:rPr>
                <w:rFonts w:eastAsia="Times New Roman" w:cs="Times New Roman"/>
                <w:color w:val="000000"/>
                <w:position w:val="0"/>
                <w:lang w:eastAsia="es-UY"/>
              </w:rPr>
              <w:t>60%</w:t>
            </w:r>
          </w:p>
        </w:tc>
      </w:tr>
    </w:tbl>
    <w:p w14:paraId="6EC88813" w14:textId="043B0460" w:rsidR="006601D5" w:rsidRDefault="006601D5" w:rsidP="007E3E2C">
      <w:pPr>
        <w:ind w:left="0" w:hanging="2"/>
        <w:jc w:val="center"/>
      </w:pPr>
    </w:p>
    <w:p w14:paraId="42A47893" w14:textId="77777777" w:rsidR="00154AE5" w:rsidRDefault="00FD63BB" w:rsidP="00745A8D">
      <w:pPr>
        <w:ind w:left="0" w:hanging="2"/>
        <w:jc w:val="both"/>
      </w:pPr>
      <w:r>
        <w:t xml:space="preserve">Los </w:t>
      </w:r>
      <w:r w:rsidR="004A38CC">
        <w:t xml:space="preserve">Titulares </w:t>
      </w:r>
      <w:r>
        <w:t xml:space="preserve">del proyecto deberán encargarse de financiar el complemento. Estos </w:t>
      </w:r>
      <w:r w:rsidR="00757629">
        <w:t xml:space="preserve">aportes </w:t>
      </w:r>
      <w:r>
        <w:t>complementarios</w:t>
      </w:r>
      <w:r w:rsidR="00154AE5">
        <w:t xml:space="preserve"> de</w:t>
      </w:r>
      <w:r w:rsidR="00ED5169">
        <w:t xml:space="preserve">berán ser acreditados ante </w:t>
      </w:r>
      <w:r w:rsidR="00FC6CEF">
        <w:t xml:space="preserve">el </w:t>
      </w:r>
      <w:r w:rsidR="007901A7" w:rsidRPr="007B7CD2">
        <w:rPr>
          <w:color w:val="000000" w:themeColor="text1"/>
        </w:rPr>
        <w:t>comité</w:t>
      </w:r>
      <w:r w:rsidR="00FC6CEF" w:rsidRPr="007B7CD2">
        <w:rPr>
          <w:color w:val="000000" w:themeColor="text1"/>
        </w:rPr>
        <w:t xml:space="preserve"> </w:t>
      </w:r>
      <w:r w:rsidR="00ED5169">
        <w:t>evaluador</w:t>
      </w:r>
      <w:r w:rsidR="00154AE5">
        <w:t xml:space="preserve">, pudiendo provenir de </w:t>
      </w:r>
      <w:r w:rsidR="00154AE5" w:rsidRPr="007B4F4B">
        <w:t xml:space="preserve">miembros de la sociedad civil, empresas u otras organizaciones del </w:t>
      </w:r>
      <w:r w:rsidR="00154AE5">
        <w:t>E</w:t>
      </w:r>
      <w:r w:rsidR="00154AE5" w:rsidRPr="007B4F4B">
        <w:t>stado.</w:t>
      </w:r>
      <w:r w:rsidR="00154AE5">
        <w:t xml:space="preserve"> </w:t>
      </w:r>
      <w:r w:rsidR="00154AE5" w:rsidRPr="00832411">
        <w:t>Los criterios de evaluación asignan un mayor puntaje a las postulaciones que incluyen estos fondos adicionales (</w:t>
      </w:r>
      <w:r w:rsidR="00154AE5">
        <w:t>ver Anexo I).</w:t>
      </w:r>
      <w:r w:rsidR="00AF1E9D">
        <w:t xml:space="preserve"> </w:t>
      </w:r>
    </w:p>
    <w:p w14:paraId="6603EC01" w14:textId="2F4777B4" w:rsidR="00154AE5" w:rsidRPr="005764B7" w:rsidRDefault="00AF1E9D" w:rsidP="00154AE5">
      <w:pPr>
        <w:ind w:left="0" w:hanging="2"/>
        <w:jc w:val="both"/>
      </w:pPr>
      <w:r>
        <w:t xml:space="preserve">Los aportes complementarios deberán estar directamente relacionados con el proyecto postulado y sólo se considerarán los </w:t>
      </w:r>
      <w:r w:rsidR="00757629">
        <w:t>realizados previo a</w:t>
      </w:r>
      <w:r w:rsidR="00B51FC5">
        <w:t xml:space="preserve"> su</w:t>
      </w:r>
      <w:r w:rsidR="00757629">
        <w:t xml:space="preserve"> inicio de operaciones</w:t>
      </w:r>
      <w:r w:rsidR="00FD63BB">
        <w:t xml:space="preserve">. </w:t>
      </w:r>
      <w:r w:rsidR="00154AE5" w:rsidRPr="005764B7">
        <w:t xml:space="preserve">Los aportes privados al proyecto solo podrán ser por concepto de mano de obra siempre y cuando lo documenten comercialmente, no pudiendo ser de proveedores del proyecto. </w:t>
      </w:r>
    </w:p>
    <w:p w14:paraId="50629C23" w14:textId="7D83D2A8" w:rsidR="004B5EF3" w:rsidRDefault="00B55878" w:rsidP="00745A8D">
      <w:pPr>
        <w:ind w:left="0" w:hanging="2"/>
        <w:jc w:val="both"/>
      </w:pPr>
      <w:r w:rsidRPr="00B55878">
        <w:t xml:space="preserve">El </w:t>
      </w:r>
      <w:r w:rsidR="001702A2">
        <w:t>T</w:t>
      </w:r>
      <w:r w:rsidRPr="00B55878">
        <w:t>itular del proyecto es responsable ante DNE por el aporte privado comprometido</w:t>
      </w:r>
      <w:r>
        <w:t xml:space="preserve"> en la postulación</w:t>
      </w:r>
      <w:r w:rsidRPr="00B55878">
        <w:t xml:space="preserve">. </w:t>
      </w:r>
      <w:r w:rsidR="004B5EF3" w:rsidRPr="00BC66AE">
        <w:t>En caso que el porcentaje de apoyo privado varíe, deberá informarse a la DNE a efectos de la reevaluación del proyecto y la pertinencia del apoyo económico.</w:t>
      </w:r>
    </w:p>
    <w:p w14:paraId="129AD96B" w14:textId="16EC045A" w:rsidR="00806C65" w:rsidRDefault="00806C65">
      <w:pPr>
        <w:suppressAutoHyphens w:val="0"/>
        <w:ind w:leftChars="0" w:left="0" w:firstLineChars="0"/>
        <w:textDirection w:val="lrTb"/>
        <w:textAlignment w:val="auto"/>
        <w:outlineLvl w:val="9"/>
        <w:rPr>
          <w:b/>
          <w:color w:val="00B050"/>
          <w:sz w:val="28"/>
          <w:szCs w:val="28"/>
        </w:rPr>
      </w:pPr>
    </w:p>
    <w:p w14:paraId="776FB52D" w14:textId="77777777" w:rsidR="005764B7" w:rsidRDefault="005764B7">
      <w:pPr>
        <w:suppressAutoHyphens w:val="0"/>
        <w:ind w:leftChars="0" w:left="0" w:firstLineChars="0"/>
        <w:textDirection w:val="lrTb"/>
        <w:textAlignment w:val="auto"/>
        <w:outlineLvl w:val="9"/>
        <w:rPr>
          <w:b/>
          <w:color w:val="00B050"/>
          <w:sz w:val="28"/>
          <w:szCs w:val="28"/>
        </w:rPr>
      </w:pPr>
    </w:p>
    <w:p w14:paraId="1386804D" w14:textId="77777777" w:rsidR="005764B7" w:rsidRDefault="005764B7">
      <w:pPr>
        <w:suppressAutoHyphens w:val="0"/>
        <w:ind w:leftChars="0" w:left="0" w:firstLineChars="0"/>
        <w:textDirection w:val="lrTb"/>
        <w:textAlignment w:val="auto"/>
        <w:outlineLvl w:val="9"/>
        <w:rPr>
          <w:b/>
          <w:color w:val="00B050"/>
          <w:sz w:val="28"/>
          <w:szCs w:val="28"/>
        </w:rPr>
      </w:pPr>
    </w:p>
    <w:p w14:paraId="5015EEC6" w14:textId="47214A33" w:rsidR="00745A8D" w:rsidRDefault="00745A8D" w:rsidP="00745A8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1" w:hanging="3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Presentación de Proyectos</w:t>
      </w:r>
    </w:p>
    <w:p w14:paraId="65D4FFF2" w14:textId="63286ADB" w:rsidR="0034189D" w:rsidRPr="00BC66AE" w:rsidRDefault="006D7028" w:rsidP="00745A8D">
      <w:pPr>
        <w:ind w:left="0" w:hanging="2"/>
        <w:jc w:val="both"/>
      </w:pPr>
      <w:r>
        <w:t>Este llamado se</w:t>
      </w:r>
      <w:r w:rsidR="0056724A">
        <w:t xml:space="preserve"> realiza</w:t>
      </w:r>
      <w:r>
        <w:t xml:space="preserve"> bajo la </w:t>
      </w:r>
      <w:r w:rsidR="0056724A">
        <w:t>modalidad</w:t>
      </w:r>
      <w:r>
        <w:t xml:space="preserve"> de concurso. </w:t>
      </w:r>
      <w:r w:rsidR="00114153">
        <w:t>Los formularios completos y firmados deberán remitirse a la casilla de correo (</w:t>
      </w:r>
      <w:hyperlink r:id="rId10" w:history="1">
        <w:r w:rsidR="00114153" w:rsidRPr="00C40D2D">
          <w:rPr>
            <w:rStyle w:val="Hipervnculo"/>
          </w:rPr>
          <w:t>LocalidadesEficientes@miem.gub.uy</w:t>
        </w:r>
      </w:hyperlink>
      <w:r w:rsidR="00114153">
        <w:t>) previo a la fecha de cierre.</w:t>
      </w:r>
      <w:r w:rsidR="00A45D1E">
        <w:t xml:space="preserve"> </w:t>
      </w:r>
      <w:r w:rsidR="00A45D1E" w:rsidRPr="00BC66AE">
        <w:t>La presentación a este llamado implica la aceptación de las presentes bases.</w:t>
      </w:r>
    </w:p>
    <w:p w14:paraId="7093C1C8" w14:textId="6B7374B2" w:rsidR="00485C08" w:rsidRDefault="006D7028" w:rsidP="00745A8D">
      <w:pPr>
        <w:ind w:left="0" w:hanging="2"/>
        <w:jc w:val="both"/>
      </w:pPr>
      <w:r>
        <w:t xml:space="preserve">Las </w:t>
      </w:r>
      <w:r w:rsidR="00485C08">
        <w:t>postulaciones</w:t>
      </w:r>
      <w:r>
        <w:t xml:space="preserve"> a ser presentadas deberán incluir</w:t>
      </w:r>
      <w:r w:rsidR="00485C08">
        <w:t xml:space="preserve">: </w:t>
      </w:r>
    </w:p>
    <w:p w14:paraId="62741F1A" w14:textId="7AE0553E" w:rsidR="00485C08" w:rsidRDefault="00485C08" w:rsidP="00485C08">
      <w:pPr>
        <w:pStyle w:val="Prrafodelista"/>
        <w:numPr>
          <w:ilvl w:val="0"/>
          <w:numId w:val="27"/>
        </w:numPr>
        <w:ind w:leftChars="0" w:firstLineChars="0"/>
        <w:jc w:val="both"/>
      </w:pPr>
      <w:r>
        <w:t xml:space="preserve">Formulario de Postulación </w:t>
      </w:r>
      <w:r w:rsidR="00D71302">
        <w:t xml:space="preserve">(archivo Excel) completo y </w:t>
      </w:r>
      <w:r w:rsidR="001702A2">
        <w:t>debidamente firmado por T</w:t>
      </w:r>
      <w:r>
        <w:t>itular y responsable técnico</w:t>
      </w:r>
    </w:p>
    <w:p w14:paraId="203404CD" w14:textId="5F752C34" w:rsidR="006D7028" w:rsidRDefault="00485C08" w:rsidP="00485C08">
      <w:pPr>
        <w:pStyle w:val="Prrafodelista"/>
        <w:numPr>
          <w:ilvl w:val="0"/>
          <w:numId w:val="27"/>
        </w:numPr>
        <w:ind w:leftChars="0" w:firstLineChars="0"/>
        <w:jc w:val="both"/>
      </w:pPr>
      <w:r>
        <w:t>Presupuestos emitidos por las empresas proveedoras</w:t>
      </w:r>
      <w:r w:rsidR="002F20A7">
        <w:t xml:space="preserve"> incluyendo la indicación de la disponibilidad para la entrega de los productos dentro del plazo máximo de ejecución del proyecto.</w:t>
      </w:r>
      <w:r>
        <w:t xml:space="preserve"> </w:t>
      </w:r>
    </w:p>
    <w:p w14:paraId="1998811C" w14:textId="60BB0172" w:rsidR="00485C08" w:rsidRDefault="00485C08" w:rsidP="00E4278D">
      <w:pPr>
        <w:pStyle w:val="Prrafodelista"/>
        <w:numPr>
          <w:ilvl w:val="0"/>
          <w:numId w:val="27"/>
        </w:numPr>
        <w:ind w:leftChars="0" w:firstLineChars="0"/>
        <w:jc w:val="both"/>
      </w:pPr>
      <w:r>
        <w:t>Video explicativo del proy</w:t>
      </w:r>
      <w:r w:rsidR="005901B0">
        <w:t>ecto de una duración máxima de 3</w:t>
      </w:r>
      <w:r>
        <w:t xml:space="preserve"> minutos</w:t>
      </w:r>
      <w:r w:rsidR="00806C65">
        <w:t>. Este deberá ser</w:t>
      </w:r>
      <w:r w:rsidR="005901B0">
        <w:t xml:space="preserve"> remitido a</w:t>
      </w:r>
      <w:r w:rsidR="00806C65">
        <w:t xml:space="preserve"> la casilla del programa a</w:t>
      </w:r>
      <w:r w:rsidR="005901B0">
        <w:t xml:space="preserve"> través de </w:t>
      </w:r>
      <w:r w:rsidR="00C42035">
        <w:t xml:space="preserve">la plataforma en línea </w:t>
      </w:r>
      <w:r w:rsidR="00C42035" w:rsidRPr="003C2E64">
        <w:rPr>
          <w:i/>
        </w:rPr>
        <w:t>Wetransfer</w:t>
      </w:r>
      <w:r w:rsidR="00C42035">
        <w:t xml:space="preserve">: </w:t>
      </w:r>
      <w:hyperlink r:id="rId11" w:history="1">
        <w:r w:rsidR="00C42035" w:rsidRPr="00C42035">
          <w:rPr>
            <w:rStyle w:val="Hipervnculo"/>
          </w:rPr>
          <w:t>wetransfer.com</w:t>
        </w:r>
      </w:hyperlink>
      <w:r w:rsidR="00C42035">
        <w:t xml:space="preserve">. La plataforma permite compartir </w:t>
      </w:r>
      <w:r w:rsidR="00C42035" w:rsidRPr="00C42035">
        <w:t>archivo</w:t>
      </w:r>
      <w:r w:rsidR="00C42035">
        <w:t>s</w:t>
      </w:r>
      <w:r w:rsidR="00C42035" w:rsidRPr="00C42035">
        <w:t xml:space="preserve"> digital</w:t>
      </w:r>
      <w:r w:rsidR="00C42035">
        <w:t>es</w:t>
      </w:r>
      <w:r w:rsidR="00C42035" w:rsidRPr="00C42035">
        <w:t xml:space="preserve"> de gran tamaño de forma rápida, sencilla y</w:t>
      </w:r>
      <w:r w:rsidR="00C42035">
        <w:t xml:space="preserve"> gratuita.</w:t>
      </w:r>
      <w:r w:rsidR="000A5C82">
        <w:rPr>
          <w:rStyle w:val="Refdenotaalpie"/>
        </w:rPr>
        <w:footnoteReference w:id="5"/>
      </w:r>
      <w:r>
        <w:t xml:space="preserve"> </w:t>
      </w:r>
    </w:p>
    <w:p w14:paraId="612A6BA1" w14:textId="1A660171" w:rsidR="00644332" w:rsidRDefault="00644332" w:rsidP="00745A8D">
      <w:pPr>
        <w:ind w:left="0" w:hanging="2"/>
        <w:jc w:val="both"/>
        <w:textDirection w:val="lrTb"/>
      </w:pPr>
      <w:r>
        <w:t xml:space="preserve">Serán financiables los </w:t>
      </w:r>
      <w:r w:rsidR="000A5C82">
        <w:t>p</w:t>
      </w:r>
      <w:r w:rsidRPr="00644332">
        <w:t xml:space="preserve">royectos que implementen medidas de eficiencia </w:t>
      </w:r>
      <w:r w:rsidRPr="00FB733B">
        <w:rPr>
          <w:color w:val="000000" w:themeColor="text1"/>
        </w:rPr>
        <w:t xml:space="preserve">energética o demostrativos </w:t>
      </w:r>
      <w:r>
        <w:t xml:space="preserve">de tecnologías eficientes. </w:t>
      </w:r>
      <w:r w:rsidRPr="00644332">
        <w:t>L</w:t>
      </w:r>
      <w:r w:rsidR="00ED5169">
        <w:t xml:space="preserve">as categorías </w:t>
      </w:r>
      <w:r w:rsidRPr="00644332">
        <w:t>de proyecto</w:t>
      </w:r>
      <w:r w:rsidR="00337171">
        <w:t>s</w:t>
      </w:r>
      <w:r w:rsidRPr="00644332">
        <w:t xml:space="preserve"> a financiar </w:t>
      </w:r>
      <w:r w:rsidR="000A5C82">
        <w:t>definidas en esta oportunidad son las siguientes</w:t>
      </w:r>
      <w:r w:rsidRPr="00644332">
        <w:t>:</w:t>
      </w:r>
    </w:p>
    <w:p w14:paraId="336FE252" w14:textId="4075EF55" w:rsidR="00644332" w:rsidRPr="00BB3DD9" w:rsidRDefault="00644332" w:rsidP="00644332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Chars="0" w:left="1080" w:firstLineChars="0" w:hanging="360"/>
        <w:textDirection w:val="lrTb"/>
        <w:textAlignment w:val="auto"/>
        <w:outlineLvl w:val="9"/>
      </w:pPr>
      <w:r w:rsidRPr="00644332">
        <w:t xml:space="preserve">Iluminación – </w:t>
      </w:r>
      <w:r w:rsidR="00A45D1E" w:rsidRPr="00BB3DD9">
        <w:t xml:space="preserve">sustitución </w:t>
      </w:r>
      <w:r w:rsidR="00BC66AE" w:rsidRPr="00BB3DD9">
        <w:t xml:space="preserve">o incorporación </w:t>
      </w:r>
      <w:r w:rsidR="00A45D1E" w:rsidRPr="00BB3DD9">
        <w:t>de luminarias</w:t>
      </w:r>
      <w:r w:rsidR="00BB3DD9" w:rsidRPr="00BB3DD9">
        <w:t xml:space="preserve"> LED</w:t>
      </w:r>
      <w:r w:rsidR="00A45D1E" w:rsidRPr="00BB3DD9">
        <w:t xml:space="preserve"> </w:t>
      </w:r>
      <w:r w:rsidRPr="00BB3DD9">
        <w:t>exterior</w:t>
      </w:r>
      <w:r w:rsidR="00A45D1E" w:rsidRPr="00BB3DD9">
        <w:t>es</w:t>
      </w:r>
      <w:r w:rsidRPr="00BB3DD9">
        <w:t xml:space="preserve"> e interior</w:t>
      </w:r>
      <w:r w:rsidR="00A45D1E" w:rsidRPr="00BB3DD9">
        <w:t>es</w:t>
      </w:r>
    </w:p>
    <w:p w14:paraId="664A2DAB" w14:textId="1BD7DEDB" w:rsidR="00644332" w:rsidRPr="00644332" w:rsidRDefault="00644332" w:rsidP="00644332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Chars="0" w:left="1080" w:firstLineChars="0" w:hanging="360"/>
        <w:textDirection w:val="lrTb"/>
        <w:textAlignment w:val="auto"/>
        <w:outlineLvl w:val="9"/>
      </w:pPr>
      <w:r w:rsidRPr="00644332">
        <w:t>Vehículos Eléctricos</w:t>
      </w:r>
      <w:r w:rsidR="000659F9">
        <w:rPr>
          <w:rStyle w:val="Refdenotaalpie"/>
        </w:rPr>
        <w:footnoteReference w:id="6"/>
      </w:r>
    </w:p>
    <w:p w14:paraId="46C6D6B5" w14:textId="42D79B7A" w:rsidR="00644332" w:rsidRDefault="00002CCA" w:rsidP="00644332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Chars="0" w:left="1080" w:firstLineChars="0" w:hanging="360"/>
        <w:textDirection w:val="lrTb"/>
        <w:textAlignment w:val="auto"/>
        <w:outlineLvl w:val="9"/>
      </w:pPr>
      <w:r>
        <w:t>Acondicionamiento térmico y mejoras en la e</w:t>
      </w:r>
      <w:r w:rsidR="00644332" w:rsidRPr="00644332">
        <w:t>nvolvente edilicia</w:t>
      </w:r>
      <w:r w:rsidR="00113094">
        <w:t xml:space="preserve"> </w:t>
      </w:r>
    </w:p>
    <w:p w14:paraId="00DF9503" w14:textId="6B8EBDCC" w:rsidR="009D7E1E" w:rsidRPr="00644332" w:rsidRDefault="009D7E1E" w:rsidP="00644332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Chars="0" w:left="1080" w:firstLineChars="0" w:hanging="360"/>
        <w:textDirection w:val="lrTb"/>
        <w:textAlignment w:val="auto"/>
        <w:outlineLvl w:val="9"/>
      </w:pPr>
      <w:r>
        <w:t>Valorización energética de residuos - Biodigestores</w:t>
      </w:r>
    </w:p>
    <w:p w14:paraId="1E79A607" w14:textId="478CD54C" w:rsidR="009D7E1E" w:rsidRDefault="00644332" w:rsidP="009D7E1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Chars="0" w:left="1080" w:firstLineChars="0" w:hanging="360"/>
        <w:textDirection w:val="lrTb"/>
        <w:textAlignment w:val="auto"/>
        <w:outlineLvl w:val="9"/>
      </w:pPr>
      <w:r w:rsidRPr="00644332">
        <w:t>Demostr</w:t>
      </w:r>
      <w:r w:rsidR="00EB48F9">
        <w:t>ación de Tecnologías Eficientes</w:t>
      </w:r>
    </w:p>
    <w:p w14:paraId="2AC8AECF" w14:textId="21A441ED" w:rsidR="00EB48F9" w:rsidRDefault="00EB48F9" w:rsidP="00644332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Chars="0" w:left="1080" w:firstLineChars="0" w:hanging="360"/>
        <w:textDirection w:val="lrTb"/>
        <w:textAlignment w:val="auto"/>
        <w:outlineLvl w:val="9"/>
      </w:pPr>
      <w:r>
        <w:t>Otr</w:t>
      </w:r>
      <w:r w:rsidR="006641E9">
        <w:t>a</w:t>
      </w:r>
      <w:r>
        <w:t>s</w:t>
      </w:r>
      <w:r w:rsidR="006641E9">
        <w:t xml:space="preserve"> medidas de eficiencia energéticas</w:t>
      </w:r>
    </w:p>
    <w:p w14:paraId="34831CC2" w14:textId="1779BD1D" w:rsidR="00745A8D" w:rsidRDefault="00745A8D" w:rsidP="00745A8D">
      <w:pPr>
        <w:ind w:leftChars="0" w:left="0" w:firstLineChars="0" w:hanging="2"/>
        <w:jc w:val="both"/>
      </w:pPr>
    </w:p>
    <w:p w14:paraId="18302119" w14:textId="6A8ABDD8" w:rsidR="000A5C82" w:rsidRDefault="000A5C82" w:rsidP="00FF7074">
      <w:pPr>
        <w:ind w:left="0" w:hanging="2"/>
        <w:jc w:val="both"/>
      </w:pPr>
      <w:r>
        <w:t xml:space="preserve">En el ANEXO IV se incluyen algunos requisitos y estándares mínimos exigidos para cada una de las categorías promovidas. </w:t>
      </w:r>
    </w:p>
    <w:p w14:paraId="7667B229" w14:textId="52D80C0E" w:rsidR="00680DF3" w:rsidRPr="006E6A86" w:rsidRDefault="0036179D" w:rsidP="00FF7074">
      <w:pPr>
        <w:ind w:left="0" w:hanging="2"/>
        <w:jc w:val="both"/>
      </w:pPr>
      <w:r w:rsidRPr="006E6A86">
        <w:t xml:space="preserve">En el caso de proyectos de </w:t>
      </w:r>
      <w:r w:rsidR="00AB5FE8" w:rsidRPr="006E6A86">
        <w:t>iluminación exterior</w:t>
      </w:r>
      <w:r w:rsidRPr="006E6A86">
        <w:t xml:space="preserve"> autónoma</w:t>
      </w:r>
      <w:r w:rsidR="00AB5FE8" w:rsidRPr="006E6A86">
        <w:t xml:space="preserve"> en lugares que cuenten con red eléctrica</w:t>
      </w:r>
      <w:r w:rsidRPr="006E6A86">
        <w:t xml:space="preserve"> se solicitará una justificación de la propuesta</w:t>
      </w:r>
      <w:r w:rsidR="00AB5FE8" w:rsidRPr="006E6A86">
        <w:t xml:space="preserve">. </w:t>
      </w:r>
      <w:r w:rsidR="006E6A86" w:rsidRPr="006E6A86">
        <w:t xml:space="preserve">No </w:t>
      </w:r>
      <w:r w:rsidR="00AB5FE8" w:rsidRPr="006E6A86">
        <w:t xml:space="preserve">se financiarán con cargo a DNE columnas de alumbrado público aunque sí se aceptan como aporte complementario. </w:t>
      </w:r>
    </w:p>
    <w:p w14:paraId="3458AFC4" w14:textId="0A053F92" w:rsidR="00FF7074" w:rsidRDefault="004B163B" w:rsidP="00FF7074">
      <w:pPr>
        <w:ind w:left="0" w:hanging="2"/>
        <w:jc w:val="both"/>
      </w:pPr>
      <w:r>
        <w:t xml:space="preserve">Se admite </w:t>
      </w:r>
      <w:r w:rsidR="000659F9">
        <w:t xml:space="preserve">que </w:t>
      </w:r>
      <w:r>
        <w:t xml:space="preserve">la postulación </w:t>
      </w:r>
      <w:r w:rsidR="000659F9">
        <w:t xml:space="preserve">abarque </w:t>
      </w:r>
      <w:r w:rsidR="00FF7074">
        <w:t>más de una de estas categorías</w:t>
      </w:r>
      <w:r w:rsidR="00784731">
        <w:t>,</w:t>
      </w:r>
      <w:r w:rsidR="00FF7074">
        <w:t xml:space="preserve"> siempre y cuando se trate de un proyecto integral y no de medidas independientes.</w:t>
      </w:r>
      <w:r w:rsidR="00BA74CD">
        <w:t xml:space="preserve"> En el caso de proyectos que impliquen la adquisición de vehículos, se exigirá que </w:t>
      </w:r>
      <w:r w:rsidR="00B51FC5">
        <w:t xml:space="preserve">estos </w:t>
      </w:r>
      <w:r w:rsidR="00BA74CD">
        <w:t>sean de propiedad pública</w:t>
      </w:r>
      <w:r w:rsidR="000661BB">
        <w:t>.</w:t>
      </w:r>
    </w:p>
    <w:p w14:paraId="6A126332" w14:textId="4652CB01" w:rsidR="006D7028" w:rsidRDefault="00012087" w:rsidP="00745A8D">
      <w:pPr>
        <w:ind w:left="0" w:hanging="2"/>
        <w:jc w:val="both"/>
      </w:pPr>
      <w:r>
        <w:lastRenderedPageBreak/>
        <w:t>S</w:t>
      </w:r>
      <w:r w:rsidR="006D7028">
        <w:t xml:space="preserve">e deberá profundizar </w:t>
      </w:r>
      <w:r w:rsidR="0034189D">
        <w:t>en</w:t>
      </w:r>
      <w:r w:rsidR="00ED5169">
        <w:t>tre otros en los siguientes ítems</w:t>
      </w:r>
      <w:r w:rsidR="006D7028">
        <w:t>: objetivos, resultados</w:t>
      </w:r>
      <w:r w:rsidR="0034189D">
        <w:t xml:space="preserve"> esperados</w:t>
      </w:r>
      <w:r w:rsidR="006D7028">
        <w:t xml:space="preserve">, cronograma de ejecución, </w:t>
      </w:r>
      <w:r w:rsidR="006F4160">
        <w:t xml:space="preserve">impactos esperados, y en todo aquello que el </w:t>
      </w:r>
      <w:r w:rsidR="007901A7" w:rsidRPr="00FB733B">
        <w:rPr>
          <w:color w:val="000000" w:themeColor="text1"/>
        </w:rPr>
        <w:t>comité evaluador</w:t>
      </w:r>
      <w:r w:rsidR="007901A7">
        <w:t xml:space="preserve"> </w:t>
      </w:r>
      <w:r w:rsidR="006F4160">
        <w:t>determine.</w:t>
      </w:r>
      <w:r w:rsidR="006D7028">
        <w:t xml:space="preserve"> A su vez</w:t>
      </w:r>
      <w:r w:rsidR="00784731">
        <w:t>,</w:t>
      </w:r>
      <w:r w:rsidR="006D7028">
        <w:t xml:space="preserve"> </w:t>
      </w:r>
      <w:r w:rsidR="00603049">
        <w:t xml:space="preserve">se deberá especificar </w:t>
      </w:r>
      <w:r w:rsidR="006D7028">
        <w:t>un presupuesto de</w:t>
      </w:r>
      <w:r w:rsidR="0034189D">
        <w:t>tallado por rubros.</w:t>
      </w:r>
    </w:p>
    <w:p w14:paraId="45EB1F0F" w14:textId="49275BCC" w:rsidR="00485C08" w:rsidRPr="000661BB" w:rsidRDefault="00485C08" w:rsidP="00745A8D">
      <w:pPr>
        <w:ind w:left="0" w:hanging="2"/>
        <w:jc w:val="both"/>
      </w:pPr>
    </w:p>
    <w:p w14:paraId="3F336220" w14:textId="7AA641F5" w:rsidR="00745A8D" w:rsidRDefault="00745A8D" w:rsidP="00745A8D">
      <w:pPr>
        <w:ind w:left="0" w:hanging="2"/>
        <w:jc w:val="both"/>
      </w:pPr>
    </w:p>
    <w:p w14:paraId="573D601E" w14:textId="1EA6A80A" w:rsidR="00FA0EE3" w:rsidRPr="00FA0EE3" w:rsidRDefault="00FA0EE3" w:rsidP="00FA0EE3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1" w:hanging="3"/>
        <w:jc w:val="both"/>
        <w:rPr>
          <w:b/>
          <w:color w:val="00B050"/>
          <w:sz w:val="28"/>
          <w:szCs w:val="28"/>
        </w:rPr>
      </w:pPr>
      <w:r w:rsidRPr="00BF0BF1">
        <w:rPr>
          <w:b/>
          <w:color w:val="00B050"/>
          <w:sz w:val="28"/>
          <w:szCs w:val="28"/>
        </w:rPr>
        <w:t>Evaluación de las Propuestas</w:t>
      </w:r>
    </w:p>
    <w:p w14:paraId="3CA53983" w14:textId="598BFAE8" w:rsidR="008F7E3F" w:rsidRPr="0012107D" w:rsidRDefault="00A45D1E" w:rsidP="008F7E3F">
      <w:pPr>
        <w:ind w:left="0" w:hanging="2"/>
        <w:jc w:val="both"/>
      </w:pPr>
      <w:r w:rsidRPr="000661BB">
        <w:t xml:space="preserve">La DNE designará un </w:t>
      </w:r>
      <w:r w:rsidR="007901A7" w:rsidRPr="000661BB">
        <w:t xml:space="preserve">Comité Evaluador </w:t>
      </w:r>
      <w:r w:rsidRPr="000661BB">
        <w:t>encargado de evaluar</w:t>
      </w:r>
      <w:r w:rsidR="00745A8D" w:rsidRPr="000661BB">
        <w:t xml:space="preserve"> las postulaciones</w:t>
      </w:r>
      <w:r w:rsidR="00745A8D">
        <w:t xml:space="preserve">. En </w:t>
      </w:r>
      <w:r w:rsidR="0047485B">
        <w:t xml:space="preserve">el </w:t>
      </w:r>
      <w:r w:rsidR="00745A8D">
        <w:t xml:space="preserve">caso </w:t>
      </w:r>
      <w:r w:rsidR="0047485B">
        <w:t>que se resuelva</w:t>
      </w:r>
      <w:r w:rsidR="00BA7804">
        <w:t>n</w:t>
      </w:r>
      <w:r w:rsidR="0047485B">
        <w:t xml:space="preserve"> como </w:t>
      </w:r>
      <w:r w:rsidR="00745A8D">
        <w:t>no satisfactorias</w:t>
      </w:r>
      <w:r w:rsidR="0047485B">
        <w:t>, o no</w:t>
      </w:r>
      <w:r w:rsidR="00FB733B">
        <w:t xml:space="preserve"> </w:t>
      </w:r>
      <w:r w:rsidR="00745A8D">
        <w:t xml:space="preserve">pertinentes </w:t>
      </w:r>
      <w:r w:rsidR="0047485B">
        <w:t xml:space="preserve">las </w:t>
      </w:r>
      <w:r w:rsidR="00745A8D">
        <w:t>postulaci</w:t>
      </w:r>
      <w:r w:rsidR="0047485B">
        <w:t>ones</w:t>
      </w:r>
      <w:r w:rsidR="00FB733B">
        <w:t>,</w:t>
      </w:r>
      <w:r w:rsidR="007901A7">
        <w:t xml:space="preserve"> </w:t>
      </w:r>
      <w:r w:rsidR="0025021F">
        <w:t xml:space="preserve">se </w:t>
      </w:r>
      <w:r w:rsidR="007901A7">
        <w:t>p</w:t>
      </w:r>
      <w:r w:rsidR="00745A8D">
        <w:t>odrá declarar desierto el llamado.</w:t>
      </w:r>
      <w:r w:rsidR="008F7E3F">
        <w:t xml:space="preserve"> </w:t>
      </w:r>
      <w:r w:rsidR="008F7E3F" w:rsidRPr="0012107D">
        <w:t>Para la evaluación de las propuestas se podrán realizar entrevistas con los postulantes</w:t>
      </w:r>
      <w:r w:rsidR="000A5C82">
        <w:t>.</w:t>
      </w:r>
      <w:r w:rsidR="008F7E3F" w:rsidRPr="0012107D">
        <w:t xml:space="preserve"> </w:t>
      </w:r>
    </w:p>
    <w:p w14:paraId="3986FA27" w14:textId="57C1FADE" w:rsidR="00745A8D" w:rsidRDefault="008F7E3F" w:rsidP="008F7E3F">
      <w:pPr>
        <w:ind w:leftChars="0" w:left="0" w:firstLineChars="0" w:hanging="2"/>
        <w:jc w:val="both"/>
      </w:pPr>
      <w:r>
        <w:t xml:space="preserve">La </w:t>
      </w:r>
      <w:r w:rsidRPr="001454D7">
        <w:t xml:space="preserve">evaluación de las propuestas se realizará en base a los criterios y ponderadores que se presentan en el </w:t>
      </w:r>
      <w:r>
        <w:rPr>
          <w:bCs/>
        </w:rPr>
        <w:t>ANEXO</w:t>
      </w:r>
      <w:r w:rsidRPr="004B5EF3">
        <w:rPr>
          <w:bCs/>
        </w:rPr>
        <w:t xml:space="preserve"> I</w:t>
      </w:r>
      <w:r w:rsidR="000A5C82">
        <w:rPr>
          <w:bCs/>
        </w:rPr>
        <w:t>,</w:t>
      </w:r>
      <w:r w:rsidR="000A5C82">
        <w:t xml:space="preserve"> y</w:t>
      </w:r>
      <w:r>
        <w:t xml:space="preserve"> </w:t>
      </w:r>
      <w:r w:rsidR="000A5C82">
        <w:t>s</w:t>
      </w:r>
      <w:r w:rsidR="00745A8D">
        <w:t>e tendrá</w:t>
      </w:r>
      <w:r>
        <w:t>n</w:t>
      </w:r>
      <w:r w:rsidR="00745A8D">
        <w:t xml:space="preserve"> en cuenta</w:t>
      </w:r>
      <w:r w:rsidR="00784731">
        <w:t>,</w:t>
      </w:r>
      <w:r w:rsidR="00745A8D">
        <w:t xml:space="preserve"> entre otros</w:t>
      </w:r>
      <w:r w:rsidR="00784731">
        <w:t>,</w:t>
      </w:r>
      <w:r w:rsidR="00745A8D">
        <w:t xml:space="preserve"> los siguientes aspectos: </w:t>
      </w:r>
    </w:p>
    <w:p w14:paraId="576DC702" w14:textId="7716D2DD" w:rsidR="00FA0EE3" w:rsidRDefault="00FA0EE3" w:rsidP="00FA0EE3">
      <w:pPr>
        <w:pStyle w:val="Prrafodelista"/>
        <w:numPr>
          <w:ilvl w:val="0"/>
          <w:numId w:val="20"/>
        </w:numPr>
        <w:ind w:leftChars="0" w:firstLineChars="0"/>
        <w:jc w:val="both"/>
      </w:pPr>
      <w:r>
        <w:t>Viabilidad técnica: el proyecto debe demostrar que la propuesta que se pretende desarrollar es tecnológica y metodológicamente factible. Es importante contar con una coherencia de los objetivos, así como los tiempos y los costos.</w:t>
      </w:r>
    </w:p>
    <w:p w14:paraId="0D7CE1AA" w14:textId="337ED49A" w:rsidR="00745A8D" w:rsidRDefault="00745A8D" w:rsidP="00FA0EE3">
      <w:pPr>
        <w:pStyle w:val="Prrafodelista"/>
        <w:numPr>
          <w:ilvl w:val="0"/>
          <w:numId w:val="20"/>
        </w:numPr>
        <w:ind w:leftChars="0" w:firstLineChars="0"/>
        <w:jc w:val="both"/>
      </w:pPr>
      <w:r>
        <w:t xml:space="preserve">Viabilidad legal y ambiental: el proyecto deberá </w:t>
      </w:r>
      <w:r w:rsidR="007901A7" w:rsidRPr="00FB733B">
        <w:rPr>
          <w:color w:val="000000" w:themeColor="text1"/>
        </w:rPr>
        <w:t xml:space="preserve">cumplir con </w:t>
      </w:r>
      <w:r>
        <w:t>las disposiciones regulatorias (laborales, tributarias, previsionales y medioambientales vigentes, entre otras)</w:t>
      </w:r>
      <w:r w:rsidR="00FF7074">
        <w:t>.</w:t>
      </w:r>
    </w:p>
    <w:p w14:paraId="0C00EAB9" w14:textId="586C560F" w:rsidR="00745A8D" w:rsidRDefault="00745A8D" w:rsidP="00FA0EE3">
      <w:pPr>
        <w:pStyle w:val="Prrafodelista"/>
        <w:numPr>
          <w:ilvl w:val="0"/>
          <w:numId w:val="20"/>
        </w:numPr>
        <w:ind w:leftChars="0" w:firstLineChars="0"/>
        <w:jc w:val="both"/>
      </w:pPr>
      <w:r>
        <w:t xml:space="preserve">Participación del sector </w:t>
      </w:r>
      <w:r w:rsidR="000A5C82">
        <w:t>privado</w:t>
      </w:r>
      <w:r>
        <w:t xml:space="preserve"> en su implementación y financiamiento</w:t>
      </w:r>
      <w:r w:rsidR="007901A7">
        <w:t>.</w:t>
      </w:r>
    </w:p>
    <w:p w14:paraId="78EFE321" w14:textId="325C7B8B" w:rsidR="00784731" w:rsidRDefault="00784731" w:rsidP="00FA0EE3">
      <w:pPr>
        <w:pStyle w:val="Prrafodelista"/>
        <w:numPr>
          <w:ilvl w:val="0"/>
          <w:numId w:val="20"/>
        </w:numPr>
        <w:ind w:leftChars="0" w:firstLineChars="0"/>
        <w:jc w:val="both"/>
        <w:rPr>
          <w:color w:val="215868" w:themeColor="accent5" w:themeShade="80"/>
        </w:rPr>
      </w:pPr>
      <w:r w:rsidRPr="00DB575E">
        <w:rPr>
          <w:color w:val="000000" w:themeColor="text1"/>
        </w:rPr>
        <w:t>Impacto social y/o comunitario</w:t>
      </w:r>
      <w:r w:rsidR="00450332">
        <w:rPr>
          <w:color w:val="215868" w:themeColor="accent5" w:themeShade="80"/>
        </w:rPr>
        <w:t>:</w:t>
      </w:r>
      <w:r w:rsidR="00C34B87" w:rsidRPr="00C34B87">
        <w:t xml:space="preserve"> </w:t>
      </w:r>
      <w:r w:rsidR="00C34B87">
        <w:t xml:space="preserve">se </w:t>
      </w:r>
      <w:r w:rsidR="00DB575E">
        <w:t>estimará</w:t>
      </w:r>
      <w:r w:rsidR="00C34B87">
        <w:t xml:space="preserve"> el potencial impacto del proyecto en la localidad, a partir de la descripción de los beneficiarios directos del proyecto, los actores vinculados a su desarrollo, así como de las instancias propuestas para la apropiación y transferencia tecnológica en la comunidad</w:t>
      </w:r>
      <w:r w:rsidRPr="00784731">
        <w:rPr>
          <w:color w:val="215868" w:themeColor="accent5" w:themeShade="80"/>
        </w:rPr>
        <w:t xml:space="preserve">. </w:t>
      </w:r>
    </w:p>
    <w:p w14:paraId="0E424915" w14:textId="350A8F62" w:rsidR="00501FF4" w:rsidRDefault="00501FF4" w:rsidP="00FA0EE3">
      <w:pPr>
        <w:pStyle w:val="Prrafodelista"/>
        <w:numPr>
          <w:ilvl w:val="0"/>
          <w:numId w:val="20"/>
        </w:numPr>
        <w:ind w:leftChars="0" w:firstLineChars="0"/>
        <w:jc w:val="both"/>
        <w:rPr>
          <w:color w:val="215868" w:themeColor="accent5" w:themeShade="80"/>
        </w:rPr>
      </w:pPr>
      <w:r>
        <w:rPr>
          <w:color w:val="000000" w:themeColor="text1"/>
        </w:rPr>
        <w:t>Calidad y claridad explicativa del material audiovisual solicitado para la postulación</w:t>
      </w:r>
    </w:p>
    <w:p w14:paraId="23BD44AD" w14:textId="23620F27" w:rsidR="00621A55" w:rsidRPr="00784731" w:rsidRDefault="0057199F" w:rsidP="00FA0EE3">
      <w:pPr>
        <w:pStyle w:val="Prrafodelista"/>
        <w:numPr>
          <w:ilvl w:val="0"/>
          <w:numId w:val="20"/>
        </w:numPr>
        <w:ind w:leftChars="0" w:firstLineChars="0"/>
        <w:jc w:val="both"/>
        <w:rPr>
          <w:color w:val="215868" w:themeColor="accent5" w:themeShade="80"/>
        </w:rPr>
      </w:pPr>
      <w:r>
        <w:rPr>
          <w:color w:val="000000" w:themeColor="text1"/>
        </w:rPr>
        <w:t xml:space="preserve">Antecedentes </w:t>
      </w:r>
      <w:r w:rsidR="00621A55">
        <w:rPr>
          <w:color w:val="000000" w:themeColor="text1"/>
        </w:rPr>
        <w:t>en convocatorias pasadas del programa Localidades Eficientes</w:t>
      </w:r>
    </w:p>
    <w:p w14:paraId="28272372" w14:textId="20449C6B" w:rsidR="00745A8D" w:rsidRDefault="00745A8D" w:rsidP="00FA0EE3">
      <w:pPr>
        <w:pStyle w:val="Prrafodelista"/>
        <w:numPr>
          <w:ilvl w:val="0"/>
          <w:numId w:val="20"/>
        </w:numPr>
        <w:ind w:leftChars="0" w:firstLineChars="0"/>
        <w:jc w:val="both"/>
      </w:pPr>
      <w:r>
        <w:t>Costo de la solución: se evaluará la consistencia y pertinencia de los rubros y montos presupuestados para el alcance del proyecto planteado, así como el costo total resultante</w:t>
      </w:r>
      <w:r w:rsidR="0057199F">
        <w:t>.</w:t>
      </w:r>
      <w:r w:rsidR="006641E9">
        <w:t xml:space="preserve"> </w:t>
      </w:r>
    </w:p>
    <w:p w14:paraId="00879F24" w14:textId="4DD82B6C" w:rsidR="00745A8D" w:rsidRDefault="00450332" w:rsidP="00FA0EE3">
      <w:pPr>
        <w:pStyle w:val="Prrafodelista"/>
        <w:numPr>
          <w:ilvl w:val="0"/>
          <w:numId w:val="20"/>
        </w:numPr>
        <w:ind w:leftChars="0" w:firstLineChars="0"/>
        <w:jc w:val="both"/>
      </w:pPr>
      <w:r>
        <w:t>Máximos establecidos por localidad</w:t>
      </w:r>
    </w:p>
    <w:p w14:paraId="3FC0F1D6" w14:textId="7153EF3D" w:rsidR="0034189D" w:rsidRDefault="0034189D" w:rsidP="00745A8D">
      <w:pPr>
        <w:ind w:left="0" w:hanging="2"/>
        <w:jc w:val="both"/>
      </w:pPr>
    </w:p>
    <w:p w14:paraId="34F930C9" w14:textId="7F3C87F8" w:rsidR="008F7E3F" w:rsidRDefault="008F7E3F" w:rsidP="008F7E3F">
      <w:pPr>
        <w:ind w:leftChars="0" w:left="0" w:firstLineChars="0" w:hanging="2"/>
        <w:jc w:val="both"/>
      </w:pPr>
      <w:r>
        <w:t>Una vez evaluad</w:t>
      </w:r>
      <w:r w:rsidR="00450332">
        <w:t>a</w:t>
      </w:r>
      <w:r>
        <w:t>s</w:t>
      </w:r>
      <w:r w:rsidR="00450332">
        <w:t xml:space="preserve"> las postulaciones</w:t>
      </w:r>
      <w:r>
        <w:t>, se elaborará una lista de prelación con todas las propuestas presentadas y que cumplan los criterios mínimos de elegibilidad</w:t>
      </w:r>
      <w:r w:rsidR="00450332">
        <w:t xml:space="preserve">, consistentes en alcanzar al menos </w:t>
      </w:r>
      <w:r w:rsidR="009C33AD">
        <w:t>35</w:t>
      </w:r>
      <w:r w:rsidR="00035212">
        <w:t xml:space="preserve"> </w:t>
      </w:r>
      <w:r w:rsidR="00450332">
        <w:t>puntos en la evaluación</w:t>
      </w:r>
      <w:r>
        <w:t xml:space="preserve">. En una primera instancia se seleccionará la mejor evaluada de cada Departamento, y posteriormente, en base a este listado se asignarán los cupos vacantes. No se seleccionará más de una </w:t>
      </w:r>
      <w:r w:rsidR="00680DF3">
        <w:t xml:space="preserve">postulación </w:t>
      </w:r>
      <w:r>
        <w:t>por localidad.</w:t>
      </w:r>
      <w:r w:rsidR="00F260B8">
        <w:t xml:space="preserve"> </w:t>
      </w:r>
    </w:p>
    <w:p w14:paraId="56D16436" w14:textId="77777777" w:rsidR="008F7E3F" w:rsidRDefault="008F7E3F" w:rsidP="008F7E3F">
      <w:pPr>
        <w:ind w:leftChars="0" w:left="0" w:firstLineChars="0" w:hanging="2"/>
        <w:jc w:val="both"/>
      </w:pPr>
      <w:r>
        <w:t xml:space="preserve">En cualquier etapa del proceso de evaluación </w:t>
      </w:r>
      <w:r w:rsidRPr="0012107D">
        <w:t>y ejecución</w:t>
      </w:r>
      <w:r>
        <w:t>, la DNE podrá convocar a expertos o referentes en el ámbito nacional o del exterior, en atención a la naturaleza del proyecto, quienes asesorarán en el asunto.</w:t>
      </w:r>
    </w:p>
    <w:p w14:paraId="2BA35B7A" w14:textId="77777777" w:rsidR="008F7E3F" w:rsidRDefault="008F7E3F" w:rsidP="00745A8D">
      <w:pPr>
        <w:ind w:left="0" w:hanging="2"/>
        <w:jc w:val="both"/>
      </w:pPr>
    </w:p>
    <w:p w14:paraId="38A736D9" w14:textId="458F3360" w:rsidR="00F152C1" w:rsidRDefault="00F152C1" w:rsidP="00F152C1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="1" w:hanging="3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Plazo de Implementación de los proyectos</w:t>
      </w:r>
    </w:p>
    <w:p w14:paraId="120E05BF" w14:textId="5B4B7646" w:rsidR="00FA0EE3" w:rsidRPr="00165B54" w:rsidRDefault="00F152C1" w:rsidP="004A039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Chars="0" w:left="1" w:firstLineChars="0" w:firstLine="0"/>
        <w:jc w:val="both"/>
        <w:rPr>
          <w:color w:val="000000" w:themeColor="text1"/>
        </w:rPr>
      </w:pPr>
      <w:r>
        <w:t xml:space="preserve">La </w:t>
      </w:r>
      <w:r w:rsidRPr="008B5448">
        <w:rPr>
          <w:b/>
        </w:rPr>
        <w:t>implementación</w:t>
      </w:r>
      <w:r>
        <w:t xml:space="preserve"> deberá llevarse a cabo </w:t>
      </w:r>
      <w:r w:rsidRPr="008B5448">
        <w:rPr>
          <w:b/>
        </w:rPr>
        <w:t>en un</w:t>
      </w:r>
      <w:r>
        <w:t xml:space="preserve"> </w:t>
      </w:r>
      <w:r w:rsidRPr="008B5448">
        <w:rPr>
          <w:b/>
        </w:rPr>
        <w:t xml:space="preserve">plazo máximo de </w:t>
      </w:r>
      <w:r w:rsidR="004B7D2E" w:rsidRPr="008B5448">
        <w:rPr>
          <w:b/>
        </w:rPr>
        <w:t>cinco</w:t>
      </w:r>
      <w:r w:rsidR="0012107D" w:rsidRPr="008B5448">
        <w:rPr>
          <w:b/>
        </w:rPr>
        <w:t xml:space="preserve"> </w:t>
      </w:r>
      <w:r w:rsidRPr="008B5448">
        <w:rPr>
          <w:b/>
        </w:rPr>
        <w:t>meses</w:t>
      </w:r>
      <w:r w:rsidR="00F70A22" w:rsidRPr="00501FF4">
        <w:t xml:space="preserve"> desde </w:t>
      </w:r>
      <w:r w:rsidR="00E23D06" w:rsidRPr="00501FF4">
        <w:t xml:space="preserve">la fecha de la resolución de la </w:t>
      </w:r>
      <w:r w:rsidR="008F7E3F">
        <w:t>DNE</w:t>
      </w:r>
      <w:r w:rsidR="00E23D06" w:rsidRPr="00501FF4">
        <w:t xml:space="preserve"> en la que se establecen los proyectos seleccionados</w:t>
      </w:r>
      <w:r w:rsidRPr="0012107D">
        <w:t xml:space="preserve">. </w:t>
      </w:r>
      <w:r w:rsidR="004B7D2E" w:rsidRPr="008B5448">
        <w:rPr>
          <w:color w:val="000000" w:themeColor="text1"/>
          <w:u w:val="single"/>
        </w:rPr>
        <w:t>No habrá posibilidad de otorgar prórroga bajo ningún concepto</w:t>
      </w:r>
      <w:r w:rsidR="004B7D2E" w:rsidRPr="00165B54">
        <w:rPr>
          <w:color w:val="000000" w:themeColor="text1"/>
        </w:rPr>
        <w:t xml:space="preserve">. </w:t>
      </w:r>
      <w:bookmarkStart w:id="0" w:name="_GoBack"/>
      <w:bookmarkEnd w:id="0"/>
    </w:p>
    <w:p w14:paraId="15007B65" w14:textId="4F6525CB" w:rsidR="00485C08" w:rsidRDefault="00680DF3" w:rsidP="004A039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Chars="0" w:left="1" w:firstLineChars="0" w:firstLine="0"/>
        <w:jc w:val="both"/>
      </w:pPr>
      <w:r>
        <w:t>El postulante</w:t>
      </w:r>
      <w:r w:rsidR="00202F4B">
        <w:t xml:space="preserve"> deberá</w:t>
      </w:r>
      <w:r w:rsidR="00034DB2" w:rsidRPr="00034DB2">
        <w:t xml:space="preserve"> </w:t>
      </w:r>
      <w:r w:rsidR="00AB1F40" w:rsidRPr="00034DB2">
        <w:t>presentar una nota de los proveedores donde se comprometen a entregar y/o instalar los equipamientos</w:t>
      </w:r>
      <w:r w:rsidR="00AB1F40">
        <w:t xml:space="preserve"> en un plazo </w:t>
      </w:r>
      <w:r w:rsidR="00D4151C">
        <w:t xml:space="preserve">menor al plazo máximo de ejecución del proyecto. </w:t>
      </w:r>
    </w:p>
    <w:p w14:paraId="7BD28079" w14:textId="5081A3A0" w:rsidR="00F152C1" w:rsidRDefault="00F152C1" w:rsidP="00F152C1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="1" w:hanging="3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Ejecución</w:t>
      </w:r>
      <w:r w:rsidR="008568CB">
        <w:rPr>
          <w:b/>
          <w:color w:val="00B050"/>
          <w:sz w:val="28"/>
          <w:szCs w:val="28"/>
        </w:rPr>
        <w:t>, Financiamiento</w:t>
      </w:r>
      <w:r>
        <w:rPr>
          <w:b/>
          <w:color w:val="00B050"/>
          <w:sz w:val="28"/>
          <w:szCs w:val="28"/>
        </w:rPr>
        <w:t xml:space="preserve"> y Monitoreo</w:t>
      </w:r>
    </w:p>
    <w:p w14:paraId="286BBDE3" w14:textId="46FC466C" w:rsidR="00BE0BED" w:rsidRPr="00312974" w:rsidRDefault="00BE0BED" w:rsidP="00BE0BE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Chars="0" w:left="0" w:firstLineChars="0" w:hanging="2"/>
        <w:jc w:val="both"/>
      </w:pPr>
      <w:r w:rsidRPr="00312974">
        <w:t xml:space="preserve">El financiamiento se formalizará a través de la presentación a la DNE </w:t>
      </w:r>
      <w:r w:rsidR="00312974" w:rsidRPr="0013723D">
        <w:t xml:space="preserve">de la rendición de la documentación comercial del proyecto firmada por su </w:t>
      </w:r>
      <w:r w:rsidR="00450332">
        <w:t>T</w:t>
      </w:r>
      <w:r w:rsidR="00312974" w:rsidRPr="0013723D">
        <w:t>itular</w:t>
      </w:r>
      <w:r w:rsidRPr="00312974">
        <w:t xml:space="preserve">. </w:t>
      </w:r>
      <w:r w:rsidR="000B1262" w:rsidRPr="0013723D">
        <w:t>Esta incluirá la totalidad de los gastos del proyecto aprobado</w:t>
      </w:r>
      <w:r w:rsidRPr="00312974">
        <w:t xml:space="preserve">. </w:t>
      </w:r>
      <w:r w:rsidR="000B1262">
        <w:t>S</w:t>
      </w:r>
      <w:r w:rsidR="000B1262" w:rsidRPr="0013723D">
        <w:t xml:space="preserve">e deberá rendir los gastos del </w:t>
      </w:r>
      <w:r w:rsidR="00450332">
        <w:t>T</w:t>
      </w:r>
      <w:r w:rsidR="000B1262" w:rsidRPr="0013723D">
        <w:t>itular y los apoyos de los privados cuando correspondan.</w:t>
      </w:r>
    </w:p>
    <w:p w14:paraId="1C231F49" w14:textId="572675CC" w:rsidR="000B1262" w:rsidRDefault="000B1262" w:rsidP="00BE0BE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Chars="0" w:left="0" w:firstLineChars="0" w:hanging="2"/>
        <w:jc w:val="both"/>
      </w:pPr>
      <w:r w:rsidRPr="00977A32">
        <w:t xml:space="preserve">Los documentos rendidos deberán estar a nombre del </w:t>
      </w:r>
      <w:r>
        <w:t>T</w:t>
      </w:r>
      <w:r w:rsidRPr="00977A32">
        <w:t xml:space="preserve">itular del proyecto </w:t>
      </w:r>
      <w:r>
        <w:t>y/o</w:t>
      </w:r>
      <w:r w:rsidRPr="00977A32">
        <w:t xml:space="preserve"> de los privados</w:t>
      </w:r>
      <w:r w:rsidR="00450332">
        <w:t>,</w:t>
      </w:r>
      <w:r w:rsidRPr="00977A32">
        <w:t xml:space="preserve"> de acuerdo al financiamiento de cada una de las partes.</w:t>
      </w:r>
      <w:r>
        <w:t xml:space="preserve"> No se documentarán compras a nombre del Fudaee o DNE.</w:t>
      </w:r>
    </w:p>
    <w:p w14:paraId="28D15450" w14:textId="71C02232" w:rsidR="00DF3AEA" w:rsidRDefault="00450332" w:rsidP="00DF3A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Chars="0" w:firstLineChars="0"/>
        <w:jc w:val="both"/>
      </w:pPr>
      <w:r>
        <w:t xml:space="preserve">En el ANEXO III se </w:t>
      </w:r>
      <w:r w:rsidR="00205906">
        <w:t xml:space="preserve">muestra la carta a ser enviada a cada Titular en un archivo independiente, en donde se </w:t>
      </w:r>
      <w:r w:rsidR="00DF3AEA">
        <w:t>refleja la información a presentar con los datos de cuentas bancarias en el registro ante la CND por primera vez, o en caso de modificación en alguno de los datos ya presentados oportunamente.</w:t>
      </w:r>
    </w:p>
    <w:p w14:paraId="374DEE60" w14:textId="2B46BAC0" w:rsidR="00BE0BED" w:rsidRPr="00DF3AEA" w:rsidRDefault="00205906" w:rsidP="00BE0BE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Chars="0" w:left="0" w:firstLineChars="0" w:hanging="2"/>
        <w:jc w:val="both"/>
      </w:pPr>
      <w:r>
        <w:t>Por su parte, e</w:t>
      </w:r>
      <w:r w:rsidR="00BE0BED" w:rsidRPr="00DF3AEA">
        <w:t xml:space="preserve">n el </w:t>
      </w:r>
      <w:r w:rsidR="00BE0BED" w:rsidRPr="00DF3AEA">
        <w:rPr>
          <w:bCs/>
        </w:rPr>
        <w:t>ANEXO II</w:t>
      </w:r>
      <w:r w:rsidR="00BE0BED" w:rsidRPr="00DF3AEA">
        <w:t xml:space="preserve"> se detalla las condiciones que </w:t>
      </w:r>
      <w:r w:rsidR="000B1262" w:rsidRPr="00DF3AEA">
        <w:t xml:space="preserve">se </w:t>
      </w:r>
      <w:r w:rsidR="00BE0BED" w:rsidRPr="00DF3AEA">
        <w:t xml:space="preserve">deben cumplir </w:t>
      </w:r>
      <w:r w:rsidR="000B1262" w:rsidRPr="00DF3AEA">
        <w:t>para el financiamiento del proyecto por parte de Fudaee.</w:t>
      </w:r>
    </w:p>
    <w:p w14:paraId="43BEA753" w14:textId="3AA23A41" w:rsidR="00BE0BED" w:rsidRPr="00312974" w:rsidRDefault="00BE0BED" w:rsidP="00BE0BE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Chars="0" w:left="0" w:firstLineChars="0" w:hanging="2"/>
        <w:jc w:val="both"/>
      </w:pPr>
      <w:r w:rsidRPr="00312974">
        <w:t xml:space="preserve">El postulante deberá permitir la visita del MIEM, o quién este designe, a las instalaciones, tanto en la fase de ejecución del proyecto como posteriormente a efectos de verificar </w:t>
      </w:r>
      <w:r w:rsidR="00B42D7D">
        <w:t>su correcto</w:t>
      </w:r>
      <w:r w:rsidR="00F260B8">
        <w:t xml:space="preserve"> </w:t>
      </w:r>
      <w:r w:rsidRPr="00312974">
        <w:t>funcionamiento.</w:t>
      </w:r>
    </w:p>
    <w:p w14:paraId="59F23080" w14:textId="1317B4FB" w:rsidR="00DE3533" w:rsidRDefault="00DE3533" w:rsidP="00DE3533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="1" w:hanging="3"/>
        <w:jc w:val="both"/>
        <w:rPr>
          <w:b/>
          <w:color w:val="00B050"/>
          <w:sz w:val="28"/>
          <w:szCs w:val="28"/>
        </w:rPr>
      </w:pPr>
      <w:bookmarkStart w:id="1" w:name="_Hlk70432156"/>
      <w:r>
        <w:rPr>
          <w:b/>
          <w:color w:val="00B050"/>
          <w:sz w:val="28"/>
          <w:szCs w:val="28"/>
        </w:rPr>
        <w:t xml:space="preserve">Cierre del Proyecto </w:t>
      </w:r>
    </w:p>
    <w:bookmarkEnd w:id="1"/>
    <w:p w14:paraId="19D3D7C9" w14:textId="46F2FB5E" w:rsidR="00205906" w:rsidRDefault="00DE3533" w:rsidP="00DE353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Chars="0" w:left="1" w:firstLineChars="0" w:firstLine="0"/>
        <w:jc w:val="both"/>
      </w:pPr>
      <w:r>
        <w:t>Una vez implementado</w:t>
      </w:r>
      <w:r w:rsidR="005B14F1">
        <w:t xml:space="preserve"> y rendido</w:t>
      </w:r>
      <w:r>
        <w:t xml:space="preserve"> el proyecto, el </w:t>
      </w:r>
      <w:r w:rsidR="001702A2">
        <w:t>T</w:t>
      </w:r>
      <w:r>
        <w:t xml:space="preserve">itular deberá remitir </w:t>
      </w:r>
      <w:r w:rsidR="00FA0EE3">
        <w:t>información a la DNE sobre la ejecución y funcionamiento del proyecto siempre que esta lo requiera.</w:t>
      </w:r>
      <w:r w:rsidR="00205906">
        <w:t xml:space="preserve"> </w:t>
      </w:r>
      <w:r>
        <w:t xml:space="preserve">El equipamiento financiado con cargo a este programa no podrá ser enajenado </w:t>
      </w:r>
      <w:r w:rsidR="006F4160">
        <w:t xml:space="preserve">ni ser destinado a otros fines </w:t>
      </w:r>
      <w:r>
        <w:t xml:space="preserve">sin autorización expresa de </w:t>
      </w:r>
      <w:r w:rsidR="00B4356A">
        <w:t>DNE.</w:t>
      </w:r>
      <w:r w:rsidR="00664CE4">
        <w:t xml:space="preserve"> </w:t>
      </w:r>
    </w:p>
    <w:p w14:paraId="1CA9968A" w14:textId="4F3590F9" w:rsidR="00205906" w:rsidRDefault="00664CE4" w:rsidP="00205906">
      <w:pPr>
        <w:ind w:left="0" w:hanging="2"/>
        <w:jc w:val="both"/>
      </w:pPr>
      <w:r>
        <w:t>El equipamiento deberá ser nuevo</w:t>
      </w:r>
      <w:r w:rsidR="00DF3AEA">
        <w:t>, sin uso</w:t>
      </w:r>
      <w:r>
        <w:t xml:space="preserve"> y contar con garantía.</w:t>
      </w:r>
      <w:r w:rsidR="00205906">
        <w:t xml:space="preserve"> Asimismo, los gastos asociados al </w:t>
      </w:r>
      <w:r w:rsidR="00205906" w:rsidRPr="000661BB">
        <w:t>mantenimiento</w:t>
      </w:r>
      <w:r w:rsidR="00205906">
        <w:t xml:space="preserve"> del proyecto</w:t>
      </w:r>
      <w:r w:rsidR="00205906" w:rsidRPr="000661BB">
        <w:t xml:space="preserve"> durante la fase de operación será</w:t>
      </w:r>
      <w:r w:rsidR="00205906">
        <w:t>n</w:t>
      </w:r>
      <w:r w:rsidR="00205906" w:rsidRPr="000661BB">
        <w:t xml:space="preserve"> responsabilidad del </w:t>
      </w:r>
      <w:r w:rsidR="001702A2">
        <w:t>T</w:t>
      </w:r>
      <w:r w:rsidR="00205906" w:rsidRPr="000661BB">
        <w:t>itular.</w:t>
      </w:r>
    </w:p>
    <w:p w14:paraId="13EE433E" w14:textId="77777777" w:rsidR="00205906" w:rsidRDefault="00205906" w:rsidP="00205906">
      <w:pPr>
        <w:ind w:left="0" w:hanging="2"/>
        <w:jc w:val="both"/>
      </w:pPr>
    </w:p>
    <w:p w14:paraId="1E23C94E" w14:textId="77777777" w:rsidR="0036179D" w:rsidRDefault="0036179D" w:rsidP="00205906">
      <w:pPr>
        <w:ind w:left="0" w:hanging="2"/>
        <w:jc w:val="both"/>
      </w:pPr>
    </w:p>
    <w:p w14:paraId="657BFD7C" w14:textId="0230874E" w:rsidR="00CE7C34" w:rsidRDefault="00CE7C34" w:rsidP="00CE7C34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="1" w:hanging="3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Difusión del Proyecto </w:t>
      </w:r>
    </w:p>
    <w:p w14:paraId="5257C86F" w14:textId="61BC45E3" w:rsidR="009F7F6B" w:rsidRPr="0036179D" w:rsidRDefault="009F7F6B" w:rsidP="00165B54">
      <w:pPr>
        <w:pStyle w:val="NormalWeb"/>
        <w:spacing w:before="240" w:line="360" w:lineRule="auto"/>
        <w:jc w:val="both"/>
        <w:rPr>
          <w:rFonts w:ascii="Calibri" w:eastAsia="Calibri" w:hAnsi="Calibri" w:cs="Calibri"/>
          <w:position w:val="-1"/>
          <w:sz w:val="22"/>
          <w:szCs w:val="22"/>
          <w:lang w:eastAsia="en-GB"/>
        </w:rPr>
      </w:pP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Difusión local: El </w:t>
      </w:r>
      <w:r w:rsidR="00AB5FE8"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beneficiario </w:t>
      </w: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deberá difundir el proyecto ejecutado a través de cartelería permanente en el espacio donde se incluirán entre otras cosas: características generales del proyecto, reconocimiento al MIEM y otras instituciones involucradas. El texto incluido deberá ser previamente aprobado por </w:t>
      </w:r>
      <w:r w:rsidR="005B14F1"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>DNE</w:t>
      </w: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 En todas las comunicaciones realizadas el beneficiario se compromete a incluir el logo del M</w:t>
      </w:r>
      <w:r w:rsidR="00AB5FE8"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>IEM</w:t>
      </w:r>
      <w:r w:rsidR="00F260B8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 </w:t>
      </w: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>y del Programa Localidades Eficientes.</w:t>
      </w:r>
      <w:r w:rsidR="00F260B8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 </w:t>
      </w: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>El beneficiario se compromete a elevar a la D</w:t>
      </w:r>
      <w:r w:rsidR="00AB5FE8"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NE </w:t>
      </w: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el diseño final de todo material gráfico/cartelería antes de su impresión o distribución. En </w:t>
      </w:r>
      <w:r w:rsidR="008E0E47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el </w:t>
      </w: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caso que el proyecto consista en vehículos </w:t>
      </w:r>
      <w:r w:rsidR="00B51FC5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estos </w:t>
      </w: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deberán incluir un ploteo con información del programa cuyo diseño deberá de ser aprobado por el </w:t>
      </w:r>
      <w:r w:rsidR="005B14F1"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>DNE</w:t>
      </w: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>.</w:t>
      </w:r>
    </w:p>
    <w:p w14:paraId="039147C0" w14:textId="150AD50A" w:rsidR="009F7F6B" w:rsidRPr="0036179D" w:rsidRDefault="009F7F6B" w:rsidP="00165B54">
      <w:pPr>
        <w:pStyle w:val="NormalWeb"/>
        <w:spacing w:before="240" w:after="240" w:line="360" w:lineRule="auto"/>
        <w:jc w:val="both"/>
        <w:rPr>
          <w:rFonts w:ascii="Calibri" w:eastAsia="Calibri" w:hAnsi="Calibri" w:cs="Calibri"/>
          <w:position w:val="-1"/>
          <w:sz w:val="22"/>
          <w:szCs w:val="22"/>
          <w:lang w:eastAsia="en-GB"/>
        </w:rPr>
      </w:pP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Materiales de difusión: Una vez finalizado el proyecto, cada beneficiario recibirá un pack de difusión compuesto por materiales físicos y digitales, para que pueda maximizar la difusión y comunicación de los logros obtenidos con sus públicos objetivos. Este pack de materiales estará compuesto por: </w:t>
      </w:r>
      <w:r w:rsidR="00F260B8">
        <w:rPr>
          <w:rFonts w:ascii="Calibri" w:eastAsia="Calibri" w:hAnsi="Calibri" w:cs="Calibri"/>
          <w:position w:val="-1"/>
          <w:sz w:val="22"/>
          <w:szCs w:val="22"/>
          <w:lang w:eastAsia="en-GB"/>
        </w:rPr>
        <w:t>adhesivos</w:t>
      </w: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, afiches, pie de mail, </w:t>
      </w:r>
      <w:r w:rsidR="00F260B8">
        <w:rPr>
          <w:rFonts w:ascii="Calibri" w:eastAsia="Calibri" w:hAnsi="Calibri" w:cs="Calibri"/>
          <w:position w:val="-1"/>
          <w:sz w:val="22"/>
          <w:szCs w:val="22"/>
          <w:lang w:eastAsia="en-GB"/>
        </w:rPr>
        <w:t>publicaciones</w:t>
      </w: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 para las </w:t>
      </w:r>
      <w:r w:rsidR="00AB5FE8"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>redes sociales</w:t>
      </w: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>, entre otros. </w:t>
      </w:r>
    </w:p>
    <w:p w14:paraId="2AABFED2" w14:textId="2C95BBDE" w:rsidR="009F7F6B" w:rsidRPr="0036179D" w:rsidRDefault="009F7F6B" w:rsidP="00165B54">
      <w:pPr>
        <w:pStyle w:val="NormalWeb"/>
        <w:spacing w:after="240" w:line="360" w:lineRule="auto"/>
        <w:jc w:val="both"/>
        <w:rPr>
          <w:rFonts w:ascii="Calibri" w:eastAsia="Calibri" w:hAnsi="Calibri" w:cs="Calibri"/>
          <w:position w:val="-1"/>
          <w:sz w:val="22"/>
          <w:szCs w:val="22"/>
          <w:lang w:eastAsia="en-GB"/>
        </w:rPr>
      </w:pP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>Sensibilización (Solo para Municipios/Intendencias): El beneficiario se compromete a comunicar, dentro de su comunidad, los beneficios de la eficiencia energética así como los logros obtenidos por el proyecto realizado. En este marco, podrá realizar charlas a los centros educativos locales, difusión en las ferias vecinales, así como otras actividades similares. Con este fin, desde la D</w:t>
      </w:r>
      <w:r w:rsidR="00AB5FE8"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 xml:space="preserve">NE </w:t>
      </w:r>
      <w:r w:rsidRPr="0036179D">
        <w:rPr>
          <w:rFonts w:ascii="Calibri" w:eastAsia="Calibri" w:hAnsi="Calibri" w:cs="Calibri"/>
          <w:position w:val="-1"/>
          <w:sz w:val="22"/>
          <w:szCs w:val="22"/>
          <w:lang w:eastAsia="en-GB"/>
        </w:rPr>
        <w:t>se le enviará folletos y material informativo sobre los diferentes programas, herramientas y beneficios de eficiencia energética.</w:t>
      </w:r>
    </w:p>
    <w:p w14:paraId="672D8607" w14:textId="027AAA42" w:rsidR="007F05C7" w:rsidRDefault="00FA0EE3" w:rsidP="00165B54">
      <w:pPr>
        <w:pStyle w:val="Prrafodelista"/>
        <w:suppressAutoHyphens w:val="0"/>
        <w:spacing w:after="120" w:line="360" w:lineRule="auto"/>
        <w:ind w:leftChars="0" w:left="0" w:right="6" w:firstLineChars="0" w:firstLine="0"/>
        <w:contextualSpacing w:val="0"/>
        <w:jc w:val="both"/>
        <w:textDirection w:val="lrTb"/>
        <w:textAlignment w:val="auto"/>
        <w:outlineLvl w:val="9"/>
      </w:pPr>
      <w:r>
        <w:t xml:space="preserve">El postulante permitirá al MIEM </w:t>
      </w:r>
      <w:r w:rsidR="007F05C7">
        <w:t>el uso de</w:t>
      </w:r>
      <w:r w:rsidR="007F05C7" w:rsidRPr="00C33AE5">
        <w:t xml:space="preserve"> la información acerca de los logros obtenidos para promover el uso eficiente de la energía</w:t>
      </w:r>
      <w:r w:rsidR="007F05C7">
        <w:t>.</w:t>
      </w:r>
      <w:r>
        <w:t xml:space="preserve"> </w:t>
      </w:r>
    </w:p>
    <w:p w14:paraId="5FA50950" w14:textId="09F2B20C" w:rsidR="00FA0EE3" w:rsidRDefault="00F260B8" w:rsidP="00202F4B">
      <w:pPr>
        <w:pStyle w:val="Prrafodelista"/>
        <w:suppressAutoHyphens w:val="0"/>
        <w:spacing w:after="120"/>
        <w:ind w:leftChars="0" w:left="0" w:right="6" w:firstLineChars="0" w:firstLine="0"/>
        <w:contextualSpacing w:val="0"/>
        <w:jc w:val="both"/>
        <w:textDirection w:val="lrTb"/>
        <w:textAlignment w:val="auto"/>
        <w:outlineLvl w:val="9"/>
      </w:pPr>
      <w:r>
        <w:t xml:space="preserve"> </w:t>
      </w:r>
      <w:r w:rsidR="00FA0EE3">
        <w:br w:type="page"/>
      </w:r>
    </w:p>
    <w:p w14:paraId="2A7E2035" w14:textId="5BA1FCB9" w:rsidR="00FA0EE3" w:rsidRDefault="00FA0EE3" w:rsidP="00FA0EE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Chars="0" w:left="0" w:firstLineChars="0" w:firstLine="0"/>
        <w:jc w:val="both"/>
        <w:rPr>
          <w:b/>
          <w:color w:val="00B050"/>
          <w:sz w:val="28"/>
          <w:szCs w:val="28"/>
        </w:rPr>
      </w:pPr>
      <w:bookmarkStart w:id="2" w:name="_heading=h.26in1rg" w:colFirst="0" w:colLast="0"/>
      <w:bookmarkEnd w:id="2"/>
      <w:r>
        <w:rPr>
          <w:b/>
          <w:color w:val="00B050"/>
          <w:sz w:val="28"/>
          <w:szCs w:val="28"/>
        </w:rPr>
        <w:lastRenderedPageBreak/>
        <w:t>ANEXO I – CRITERIOS Y PONDERADORES DE EVALUACIÓN</w:t>
      </w:r>
      <w:r w:rsidRPr="00BF0BF1">
        <w:rPr>
          <w:b/>
          <w:color w:val="00B050"/>
          <w:sz w:val="28"/>
          <w:szCs w:val="28"/>
        </w:rPr>
        <w:t xml:space="preserve"> </w:t>
      </w:r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4215"/>
        <w:gridCol w:w="1147"/>
        <w:gridCol w:w="1064"/>
        <w:gridCol w:w="633"/>
      </w:tblGrid>
      <w:tr w:rsidR="002053B5" w:rsidRPr="002053B5" w14:paraId="6B075FF4" w14:textId="77777777" w:rsidTr="00165B54">
        <w:trPr>
          <w:trHeight w:val="315"/>
        </w:trPr>
        <w:tc>
          <w:tcPr>
            <w:tcW w:w="9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FA36EC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Nombre del indicador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19FD96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Fórmula de calculo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223517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Indicador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5B85C7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Ponderación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27F5A3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Peso</w:t>
            </w:r>
          </w:p>
        </w:tc>
      </w:tr>
      <w:tr w:rsidR="002053B5" w:rsidRPr="002053B5" w14:paraId="17A34012" w14:textId="77777777" w:rsidTr="00165B54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09A8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1 - Aporte privado</w:t>
            </w:r>
          </w:p>
        </w:tc>
        <w:tc>
          <w:tcPr>
            <w:tcW w:w="2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28CE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x = Aporte Privado $/Aporte DNE $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3836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x &gt; 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2D21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010" w14:textId="58A4B3E9" w:rsidR="002053B5" w:rsidRPr="002053B5" w:rsidRDefault="00C4197C" w:rsidP="004B7D2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</w:t>
            </w:r>
            <w:r w:rsidR="004B7D2E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6</w:t>
            </w:r>
            <w:r w:rsidR="002053B5"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%</w:t>
            </w:r>
          </w:p>
        </w:tc>
      </w:tr>
      <w:tr w:rsidR="002053B5" w:rsidRPr="002053B5" w14:paraId="23B0AFA2" w14:textId="77777777" w:rsidTr="00165B54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A63D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58BE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17C3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0,5 &lt; x &lt; 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6A29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63F6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03F8C840" w14:textId="77777777" w:rsidTr="00165B54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9678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5168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FE7C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0,3 &lt; x &lt; 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D70E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FF2A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0C25B347" w14:textId="77777777" w:rsidTr="00165B54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F87E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F149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4C91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0,2 &lt; x &lt; 0,3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48B7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7FDB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0ADD584C" w14:textId="77777777" w:rsidTr="00165B54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5F8C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2C8A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8A31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0,1 &lt; x &lt; 0,2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4E64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554E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047AE8B9" w14:textId="77777777" w:rsidTr="00165B54">
        <w:trPr>
          <w:trHeight w:val="315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0F9C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AFC3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8862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0,05 &lt; x &lt; 0,1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E873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5D3F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1E468CF5" w14:textId="77777777" w:rsidTr="00165B54">
        <w:trPr>
          <w:trHeight w:val="300"/>
        </w:trPr>
        <w:tc>
          <w:tcPr>
            <w:tcW w:w="98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A279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2 - Aporte público (distinto de DNE)</w:t>
            </w:r>
          </w:p>
        </w:tc>
        <w:tc>
          <w:tcPr>
            <w:tcW w:w="23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EEAC" w14:textId="109B5B8C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x = Aporte P</w:t>
            </w:r>
            <w:r w:rsidR="00035212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ú</w:t>
            </w: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blico $/Aporte DNE $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19EC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x &gt; 1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399E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35CC" w14:textId="50990AC3" w:rsidR="002053B5" w:rsidRPr="002053B5" w:rsidRDefault="00C4197C" w:rsidP="004B7D2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</w:t>
            </w:r>
            <w:r w:rsidR="004B7D2E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2</w:t>
            </w:r>
            <w:r w:rsidR="002053B5"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%</w:t>
            </w:r>
          </w:p>
        </w:tc>
      </w:tr>
      <w:tr w:rsidR="002053B5" w:rsidRPr="002053B5" w14:paraId="3FE1DA06" w14:textId="77777777" w:rsidTr="00165B54">
        <w:trPr>
          <w:trHeight w:val="300"/>
        </w:trPr>
        <w:tc>
          <w:tcPr>
            <w:tcW w:w="9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9A4F2D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C1F5B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DC5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0,5 &lt; x &lt; 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0B87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0,8</w:t>
            </w: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4ECEB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3B864CEF" w14:textId="77777777" w:rsidTr="00165B54">
        <w:trPr>
          <w:trHeight w:val="300"/>
        </w:trPr>
        <w:tc>
          <w:tcPr>
            <w:tcW w:w="9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5EC2C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24594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0054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0,3 &lt; x &lt; 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6DE1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0,6</w:t>
            </w: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D48FF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5A549653" w14:textId="77777777" w:rsidTr="00165B54">
        <w:trPr>
          <w:trHeight w:val="300"/>
        </w:trPr>
        <w:tc>
          <w:tcPr>
            <w:tcW w:w="9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22EB0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5E2D0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2D57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0,2 &lt; x &lt; 0,3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2C0A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0,4</w:t>
            </w: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12F69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2CDA9E95" w14:textId="77777777" w:rsidTr="00165B54">
        <w:trPr>
          <w:trHeight w:val="300"/>
        </w:trPr>
        <w:tc>
          <w:tcPr>
            <w:tcW w:w="9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7DD6B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9647F6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6609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0,1 &lt; x &lt; 0,2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2D8E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0,2</w:t>
            </w: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A66E1A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6DD79D92" w14:textId="77777777" w:rsidTr="00165B54">
        <w:trPr>
          <w:trHeight w:val="315"/>
        </w:trPr>
        <w:tc>
          <w:tcPr>
            <w:tcW w:w="9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28A60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37352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097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0,05 &lt; x &lt; 0,1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C57E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0,1</w:t>
            </w: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C34F0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53DE586B" w14:textId="77777777" w:rsidTr="00165B54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7B3" w14:textId="5E3E5F1B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3 - Tipo de Proyecto</w:t>
            </w:r>
            <w:r>
              <w:rPr>
                <w:rStyle w:val="Refdenotaalpie"/>
                <w:rFonts w:eastAsia="Times New Roman"/>
                <w:color w:val="000000"/>
                <w:sz w:val="18"/>
                <w:szCs w:val="20"/>
                <w:lang w:eastAsia="es-UY"/>
              </w:rPr>
              <w:footnoteReference w:id="7"/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62AB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Vehículos eléctricos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0D25" w14:textId="14D45239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 si = 1 , no = 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01CF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32F9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16%</w:t>
            </w:r>
          </w:p>
        </w:tc>
      </w:tr>
      <w:tr w:rsidR="002053B5" w:rsidRPr="002053B5" w14:paraId="4DFE0BE7" w14:textId="77777777" w:rsidTr="00165B54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D22C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9888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Iluminación (Sustitución)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7C3C" w14:textId="306322EF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 si = 1 , no = 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FA0A" w14:textId="1744FE90" w:rsidR="002053B5" w:rsidRPr="002053B5" w:rsidRDefault="00035212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2F5E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1CF1BB26" w14:textId="77777777" w:rsidTr="00165B54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8658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741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Iluminación (Nueva)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0E75" w14:textId="663FF693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 si = 1 , no = 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4791" w14:textId="4CE6A1F2" w:rsidR="002053B5" w:rsidRPr="002053B5" w:rsidRDefault="00035212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4DD6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0ED69EA8" w14:textId="77777777" w:rsidTr="00165B54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6152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4953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Acondicionamiento térmico / envolvente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DA62" w14:textId="3EE357BE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 si = 1 , no = 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AFC1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43E6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7F8AF607" w14:textId="77777777" w:rsidTr="00165B54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4D2D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8F64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Valorización energética de residuos (biodigestores)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B337" w14:textId="32A9F4E8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 si = 1 , no = 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0E2F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0CAD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72FABE1D" w14:textId="77777777" w:rsidTr="00165B54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58B1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3260" w14:textId="093B4711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Demostración tecnológica</w:t>
            </w:r>
            <w:r w:rsidR="006B6C46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 xml:space="preserve"> u otras medidas de eficiencia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6FEE" w14:textId="3D253CCD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 si = 1 , no = 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DC3E" w14:textId="46DF8D44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</w:t>
            </w:r>
            <w:r w:rsidR="003250F2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2E1C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596171F6" w14:textId="77777777" w:rsidTr="00165B54">
        <w:trPr>
          <w:trHeight w:val="300"/>
        </w:trPr>
        <w:tc>
          <w:tcPr>
            <w:tcW w:w="98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6A76" w14:textId="6AC87443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4 - Ahorros Energético</w:t>
            </w:r>
            <w:r>
              <w:rPr>
                <w:rStyle w:val="Refdenotaalpie"/>
                <w:rFonts w:eastAsia="Times New Roman"/>
                <w:color w:val="000000"/>
                <w:sz w:val="18"/>
                <w:szCs w:val="20"/>
                <w:lang w:eastAsia="es-UY"/>
              </w:rPr>
              <w:footnoteReference w:id="8"/>
            </w:r>
          </w:p>
        </w:tc>
        <w:tc>
          <w:tcPr>
            <w:tcW w:w="23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2323" w14:textId="25D91F8E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Energía Evitada</w:t>
            </w:r>
            <w:r w:rsidR="00C9513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 xml:space="preserve"> (tep)</w:t>
            </w: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 xml:space="preserve"> / Inversión Total ($)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A958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4E37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 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6520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12%</w:t>
            </w:r>
          </w:p>
        </w:tc>
      </w:tr>
      <w:tr w:rsidR="002053B5" w:rsidRPr="002053B5" w14:paraId="3FF42871" w14:textId="77777777" w:rsidTr="00165B54">
        <w:trPr>
          <w:trHeight w:val="300"/>
        </w:trPr>
        <w:tc>
          <w:tcPr>
            <w:tcW w:w="9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DD598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7D8EC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9B220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327AC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5FE92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0F7582AE" w14:textId="77777777" w:rsidTr="00165B54">
        <w:trPr>
          <w:trHeight w:val="315"/>
        </w:trPr>
        <w:tc>
          <w:tcPr>
            <w:tcW w:w="9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04534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BA0AD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FDCF2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C106C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ED746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2053B5" w:rsidRPr="002053B5" w14:paraId="3FBCA2CF" w14:textId="77777777" w:rsidTr="00165B54">
        <w:trPr>
          <w:trHeight w:val="315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166B" w14:textId="70E00949" w:rsidR="002053B5" w:rsidRPr="002053B5" w:rsidRDefault="0031515C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5 - Antecedentes de</w:t>
            </w:r>
            <w:r w:rsidR="002053B5"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 xml:space="preserve"> la localidad en el Programa LEE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CC1B" w14:textId="2A376988" w:rsidR="002053B5" w:rsidRPr="002053B5" w:rsidRDefault="0031515C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No fue beneficiaria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FB5B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si = 1 , no = 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9D8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A766" w14:textId="2867F671" w:rsidR="002053B5" w:rsidRPr="002053B5" w:rsidRDefault="002053B5" w:rsidP="00511E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</w:t>
            </w:r>
            <w:r w:rsidR="00511EBD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4</w:t>
            </w: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%</w:t>
            </w:r>
          </w:p>
        </w:tc>
      </w:tr>
      <w:tr w:rsidR="002053B5" w:rsidRPr="002053B5" w14:paraId="4CEA9ACC" w14:textId="77777777" w:rsidTr="00165B54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C63A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F8B" w14:textId="4A0261C8" w:rsidR="002053B5" w:rsidRPr="002053B5" w:rsidRDefault="002053B5" w:rsidP="0031515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Fue beneficiari</w:t>
            </w:r>
            <w:r w:rsidR="0031515C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a</w:t>
            </w: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 xml:space="preserve"> y culminó sin necesidad de prórroga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047C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si = 1 , no = 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CC7B" w14:textId="5CB4B805" w:rsidR="002053B5" w:rsidRPr="002053B5" w:rsidRDefault="002053B5" w:rsidP="00511E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</w:t>
            </w:r>
            <w:r w:rsidR="00511EBD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076CD" w14:textId="77777777" w:rsidR="002053B5" w:rsidRPr="002053B5" w:rsidRDefault="002053B5" w:rsidP="002053B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6B6C46" w:rsidRPr="002053B5" w14:paraId="3B33DF80" w14:textId="77777777" w:rsidTr="00165B54">
        <w:trPr>
          <w:trHeight w:val="315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D828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3C24" w14:textId="4E5413C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Fue beneficiaria y culminó con prórroga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0119" w14:textId="03BC9055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si = 1 , no = 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1BFC" w14:textId="0BF93C03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</w:t>
            </w:r>
            <w:r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16EC9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6B6C46" w:rsidRPr="002053B5" w14:paraId="12B1642E" w14:textId="77777777" w:rsidTr="00165B54">
        <w:trPr>
          <w:trHeight w:val="300"/>
        </w:trPr>
        <w:tc>
          <w:tcPr>
            <w:tcW w:w="98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93AE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6 - Localización del proyecto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3806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Espacio Público de uso Público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38C3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si = 1 , no = 0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70F9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DC18" w14:textId="73ABDD1C" w:rsidR="006B6C46" w:rsidRPr="002053B5" w:rsidRDefault="006B6C46" w:rsidP="004B7D2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</w:t>
            </w:r>
            <w:r w:rsidR="004B7D2E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</w:t>
            </w: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%</w:t>
            </w:r>
          </w:p>
        </w:tc>
      </w:tr>
      <w:tr w:rsidR="006B6C46" w:rsidRPr="002053B5" w14:paraId="3F58BFCC" w14:textId="77777777" w:rsidTr="00165B54">
        <w:trPr>
          <w:trHeight w:val="300"/>
        </w:trPr>
        <w:tc>
          <w:tcPr>
            <w:tcW w:w="9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CFBEC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63F4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 xml:space="preserve">Espacio Público de uso Privado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4B99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si = 1 , no = 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231F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0.75</w:t>
            </w: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291D60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6B6C46" w:rsidRPr="002053B5" w14:paraId="0CCEBAEB" w14:textId="77777777" w:rsidTr="00165B54">
        <w:trPr>
          <w:trHeight w:val="300"/>
        </w:trPr>
        <w:tc>
          <w:tcPr>
            <w:tcW w:w="9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2B95E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3732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Espacio Privado de uso Público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5027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si = 1 , no = 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E3F3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0,5</w:t>
            </w: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0BDD1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6B6C46" w:rsidRPr="002053B5" w14:paraId="53C21A19" w14:textId="77777777" w:rsidTr="00165B54">
        <w:trPr>
          <w:trHeight w:val="315"/>
        </w:trPr>
        <w:tc>
          <w:tcPr>
            <w:tcW w:w="9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5817D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9A7D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Espacio Privado de uso Privado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6D79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si = 1 , no = 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A069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0,25</w:t>
            </w: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EB3BC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6B6C46" w:rsidRPr="002053B5" w14:paraId="68A79B62" w14:textId="77777777" w:rsidTr="00165B54">
        <w:trPr>
          <w:trHeight w:val="300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1303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7 - Población de la Localidad</w:t>
            </w:r>
          </w:p>
        </w:tc>
        <w:tc>
          <w:tcPr>
            <w:tcW w:w="2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4370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h = miles de habitantes (según censo 2011)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085D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 &lt; h &lt; 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A81D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0939" w14:textId="16193574" w:rsidR="006B6C46" w:rsidRPr="002053B5" w:rsidRDefault="006B6C46" w:rsidP="004B7D2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</w:t>
            </w:r>
            <w:r w:rsidR="004B7D2E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</w:t>
            </w: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%</w:t>
            </w:r>
          </w:p>
        </w:tc>
      </w:tr>
      <w:tr w:rsidR="006B6C46" w:rsidRPr="002053B5" w14:paraId="04958803" w14:textId="77777777" w:rsidTr="00165B54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E9FA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DA77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B503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5 &lt; h &lt; 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18C2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89269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6B6C46" w:rsidRPr="002053B5" w14:paraId="47B486A2" w14:textId="77777777" w:rsidTr="00165B54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819A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D8B8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FAB6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10 &lt; h &lt; 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F939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8E922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6B6C46" w:rsidRPr="002053B5" w14:paraId="3ED8B9E5" w14:textId="77777777" w:rsidTr="00165B54">
        <w:trPr>
          <w:trHeight w:val="300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C10D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0584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3ABE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20 &lt; h &lt; 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8828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A270C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6B6C46" w:rsidRPr="002053B5" w14:paraId="46427631" w14:textId="77777777" w:rsidTr="00165B54">
        <w:trPr>
          <w:trHeight w:val="315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6B6C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2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D0EB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BA89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h &gt; 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FA94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0,2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5CD50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</w:p>
        </w:tc>
      </w:tr>
      <w:tr w:rsidR="006B6C46" w:rsidRPr="002053B5" w14:paraId="460C3AF3" w14:textId="77777777" w:rsidTr="00165B54">
        <w:trPr>
          <w:trHeight w:val="315"/>
        </w:trPr>
        <w:tc>
          <w:tcPr>
            <w:tcW w:w="9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00A7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Video Explicativo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F21E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2EA9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C0FF" w14:textId="77777777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A191" w14:textId="101B5A65" w:rsidR="006B6C46" w:rsidRPr="002053B5" w:rsidRDefault="006B6C46" w:rsidP="006B6C46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</w:pPr>
            <w:r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10</w:t>
            </w:r>
            <w:r w:rsidRPr="002053B5">
              <w:rPr>
                <w:rFonts w:eastAsia="Times New Roman"/>
                <w:color w:val="000000"/>
                <w:position w:val="0"/>
                <w:sz w:val="18"/>
                <w:szCs w:val="20"/>
                <w:lang w:eastAsia="es-UY"/>
              </w:rPr>
              <w:t>%</w:t>
            </w:r>
          </w:p>
        </w:tc>
      </w:tr>
    </w:tbl>
    <w:p w14:paraId="1BF75CE8" w14:textId="77777777" w:rsidR="00165B54" w:rsidRDefault="00165B54" w:rsidP="009C33AD">
      <w:pPr>
        <w:suppressAutoHyphens w:val="0"/>
        <w:ind w:leftChars="0" w:left="0" w:firstLineChars="0"/>
        <w:textDirection w:val="lrTb"/>
        <w:textAlignment w:val="auto"/>
        <w:outlineLvl w:val="9"/>
        <w:rPr>
          <w:b/>
          <w:color w:val="00B050"/>
          <w:sz w:val="28"/>
          <w:szCs w:val="28"/>
        </w:rPr>
      </w:pPr>
    </w:p>
    <w:p w14:paraId="263ACCFC" w14:textId="7BB3F12A" w:rsidR="007E3E2C" w:rsidRDefault="009C33AD" w:rsidP="00C834E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Chars="0" w:left="0" w:firstLineChars="0" w:firstLine="0"/>
        <w:jc w:val="both"/>
        <w:textDirection w:val="lrTb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A</w:t>
      </w:r>
      <w:r w:rsidR="008568CB" w:rsidRPr="007E3E2C">
        <w:rPr>
          <w:b/>
          <w:color w:val="00B050"/>
          <w:sz w:val="28"/>
          <w:szCs w:val="28"/>
        </w:rPr>
        <w:t xml:space="preserve">NEXO II – </w:t>
      </w:r>
      <w:r w:rsidR="008568CB">
        <w:rPr>
          <w:b/>
          <w:color w:val="00B050"/>
          <w:sz w:val="28"/>
          <w:szCs w:val="28"/>
        </w:rPr>
        <w:t xml:space="preserve">CONDICIONES </w:t>
      </w:r>
      <w:r w:rsidR="008568CB" w:rsidRPr="007E3E2C">
        <w:rPr>
          <w:b/>
          <w:color w:val="00B050"/>
          <w:sz w:val="28"/>
          <w:szCs w:val="28"/>
        </w:rPr>
        <w:t xml:space="preserve">PARA EL </w:t>
      </w:r>
      <w:r w:rsidR="00B42D7D">
        <w:rPr>
          <w:b/>
          <w:color w:val="00B050"/>
          <w:sz w:val="28"/>
          <w:szCs w:val="28"/>
        </w:rPr>
        <w:t>FINANCIAMIENTO DEL PROYECTO</w:t>
      </w:r>
    </w:p>
    <w:p w14:paraId="4ECC8E79" w14:textId="77777777" w:rsidR="00800A03" w:rsidRDefault="00800A03" w:rsidP="00800A03">
      <w:pPr>
        <w:pStyle w:val="Ttulo1"/>
        <w:spacing w:after="120"/>
        <w:ind w:left="1" w:hanging="3"/>
      </w:pPr>
      <w:r>
        <w:t>¿Cómo se autoriza el pago?</w:t>
      </w:r>
    </w:p>
    <w:p w14:paraId="1882AA3A" w14:textId="5AB1FD56" w:rsidR="00800A03" w:rsidRDefault="00800A03" w:rsidP="00800A03">
      <w:pPr>
        <w:spacing w:after="360"/>
        <w:ind w:left="0" w:hanging="2"/>
        <w:jc w:val="both"/>
      </w:pPr>
      <w:r>
        <w:t xml:space="preserve">Una vez finalizada la implementación del proyecto, el Titular deberá presentar la documentación técnica y comercial para revisión y aprobación de la DNE. Aprobado todo, Fudaee solicita la transferencia a la CND, la cual se hará efectiva dentro de </w:t>
      </w:r>
      <w:r w:rsidR="00C4208A">
        <w:t>los</w:t>
      </w:r>
      <w:r>
        <w:t xml:space="preserve"> tiempos administrativos de la CND y de acuerdo al cumplimento de sus requerimientos</w:t>
      </w:r>
      <w:r w:rsidRPr="00C7257B">
        <w:t xml:space="preserve">. El tiempo estimado es de dos semanas a </w:t>
      </w:r>
      <w:r>
        <w:t xml:space="preserve">partir de la fecha de presentación de la documentación por parte del </w:t>
      </w:r>
      <w:r w:rsidR="002A6867">
        <w:t>T</w:t>
      </w:r>
      <w:r>
        <w:t>itular del proyecto y solicitud de pago por parte de Fudaee. El único día de pago es el viernes de cada semana.</w:t>
      </w:r>
    </w:p>
    <w:p w14:paraId="749BAEA1" w14:textId="77777777" w:rsidR="00800A03" w:rsidRDefault="00800A03" w:rsidP="00800A03">
      <w:pPr>
        <w:pStyle w:val="Ttulo1"/>
        <w:ind w:left="1" w:hanging="3"/>
      </w:pPr>
      <w:r>
        <w:t>¿Cuál es la documentación y cómo debe presentarse?</w:t>
      </w:r>
    </w:p>
    <w:p w14:paraId="13875D5D" w14:textId="7950C180" w:rsidR="00800A03" w:rsidRPr="00620625" w:rsidRDefault="00800A03" w:rsidP="00800A03">
      <w:pPr>
        <w:ind w:left="0" w:hanging="2"/>
        <w:jc w:val="both"/>
      </w:pPr>
      <w:r w:rsidRPr="00FC23B0">
        <w:t>La documentación comercial refiere a la rendición de la totalidad de los gastos</w:t>
      </w:r>
      <w:r>
        <w:t xml:space="preserve"> del proyecto aprobado.</w:t>
      </w:r>
      <w:r w:rsidRPr="00FC23B0">
        <w:t xml:space="preserve"> Se deberá</w:t>
      </w:r>
      <w:r w:rsidR="00C4208A">
        <w:t>n</w:t>
      </w:r>
      <w:r w:rsidRPr="00FC23B0">
        <w:t xml:space="preserve"> rendir los gastos del </w:t>
      </w:r>
      <w:r w:rsidR="002A6867">
        <w:t>T</w:t>
      </w:r>
      <w:r w:rsidRPr="00FC23B0">
        <w:t xml:space="preserve">itular del proyecto y los apoyos de los privados </w:t>
      </w:r>
      <w:r w:rsidRPr="00977A32">
        <w:t xml:space="preserve">cuando correspondan. Los documentos rendidos deberán estar a nombre del </w:t>
      </w:r>
      <w:r w:rsidR="002A6867">
        <w:t>T</w:t>
      </w:r>
      <w:r w:rsidRPr="00977A32">
        <w:t xml:space="preserve">itular del proyecto </w:t>
      </w:r>
      <w:r>
        <w:t>y/o</w:t>
      </w:r>
      <w:r w:rsidRPr="00977A32">
        <w:t xml:space="preserve"> de los privados de acuerdo al financiamiento de cada una de las partes.</w:t>
      </w:r>
      <w:r>
        <w:t xml:space="preserve"> No se documentarán compras a nombre del Fudaee o DNE.</w:t>
      </w:r>
    </w:p>
    <w:p w14:paraId="4B156A76" w14:textId="77777777" w:rsidR="00800A03" w:rsidRPr="000F1B37" w:rsidRDefault="00800A03" w:rsidP="00800A03">
      <w:pPr>
        <w:ind w:left="0" w:hanging="2"/>
        <w:jc w:val="both"/>
        <w:rPr>
          <w:b/>
          <w:u w:val="single"/>
        </w:rPr>
      </w:pPr>
      <w:r w:rsidRPr="000F1B37">
        <w:t xml:space="preserve">El Fudaee financiará </w:t>
      </w:r>
      <w:r w:rsidRPr="000F1B37">
        <w:rPr>
          <w:b/>
          <w:u w:val="single"/>
        </w:rPr>
        <w:t>el mínimo entre:</w:t>
      </w:r>
    </w:p>
    <w:p w14:paraId="0FA21B1E" w14:textId="77777777" w:rsidR="00800A03" w:rsidRPr="00800A03" w:rsidRDefault="00800A03" w:rsidP="00800A03">
      <w:pPr>
        <w:pStyle w:val="Prrafodelista"/>
        <w:numPr>
          <w:ilvl w:val="0"/>
          <w:numId w:val="25"/>
        </w:numPr>
        <w:ind w:leftChars="0" w:firstLineChars="0"/>
      </w:pPr>
      <w:r w:rsidRPr="00800A03">
        <w:t>El monto aprobado para cada proyecto por resolución de la DNE.</w:t>
      </w:r>
    </w:p>
    <w:p w14:paraId="58F7171A" w14:textId="77777777" w:rsidR="00800A03" w:rsidRPr="00DF3AEA" w:rsidRDefault="00800A03" w:rsidP="00800A03">
      <w:pPr>
        <w:pStyle w:val="Prrafodelista"/>
        <w:numPr>
          <w:ilvl w:val="0"/>
          <w:numId w:val="25"/>
        </w:numPr>
        <w:ind w:leftChars="0" w:firstLineChars="0"/>
      </w:pPr>
      <w:r w:rsidRPr="00800A03">
        <w:t xml:space="preserve">El monto resultante de aplicar el porcentaje aprobado del proyecto fijado por la resolución de la DNE al monto </w:t>
      </w:r>
      <w:r w:rsidRPr="00DF3AEA">
        <w:t>finalmente rendido.</w:t>
      </w:r>
    </w:p>
    <w:p w14:paraId="1A3E2C0C" w14:textId="77777777" w:rsidR="00800A03" w:rsidRPr="008A350C" w:rsidRDefault="00800A03" w:rsidP="00800A03">
      <w:pPr>
        <w:ind w:left="0" w:hanging="2"/>
        <w:jc w:val="both"/>
        <w:rPr>
          <w:b/>
          <w:bCs/>
        </w:rPr>
      </w:pPr>
      <w:r w:rsidRPr="008A350C">
        <w:rPr>
          <w:b/>
          <w:bCs/>
        </w:rPr>
        <w:t>En caso que el porcentaje de apoyo privado varíe, deberá informarse a la DNE a efectos de la reevaluación del proyecto y la pertinencia del apoyo económico.</w:t>
      </w:r>
    </w:p>
    <w:p w14:paraId="5E2C758A" w14:textId="2C0E23BC" w:rsidR="00800A03" w:rsidRDefault="00800A03" w:rsidP="00800A03">
      <w:pPr>
        <w:ind w:left="0" w:hanging="2"/>
        <w:jc w:val="both"/>
      </w:pPr>
      <w:r>
        <w:t xml:space="preserve">La presentación de la rendición de gastos se hará en una planilla electrónica, </w:t>
      </w:r>
      <w:r w:rsidRPr="00800A03">
        <w:rPr>
          <w:u w:val="single"/>
        </w:rPr>
        <w:t>con las fórmulas a la vista</w:t>
      </w:r>
      <w:r>
        <w:t xml:space="preserve">, sumando todos los gastos y un escaneo de cada documento comercial que lo acredite. Esta rendición deberá acompañarse con una carta membretada y firmada por el </w:t>
      </w:r>
      <w:r w:rsidR="00C61F1C">
        <w:t>T</w:t>
      </w:r>
      <w:r>
        <w:t>itular del proyecto documentando que la rendición que se presenta refiere al proyecto beneficiario.</w:t>
      </w:r>
    </w:p>
    <w:p w14:paraId="5EB560C9" w14:textId="77777777" w:rsidR="00800A03" w:rsidRPr="00F566E7" w:rsidRDefault="00800A03" w:rsidP="00800A03">
      <w:pPr>
        <w:pStyle w:val="Ttulo2"/>
        <w:ind w:left="1" w:hanging="3"/>
      </w:pPr>
      <w:r w:rsidRPr="00F566E7">
        <w:t xml:space="preserve">Documentación </w:t>
      </w:r>
      <w:r>
        <w:t>válida</w:t>
      </w:r>
    </w:p>
    <w:p w14:paraId="6F4ED70F" w14:textId="77777777" w:rsidR="00800A03" w:rsidRPr="00F566E7" w:rsidRDefault="00800A03" w:rsidP="00800A03">
      <w:pPr>
        <w:spacing w:after="60"/>
        <w:ind w:left="0" w:hanging="2"/>
        <w:jc w:val="both"/>
      </w:pPr>
      <w:r w:rsidRPr="00F566E7">
        <w:t>Los gastos ejecutados a rendir deben estar debidamente documentados:</w:t>
      </w:r>
    </w:p>
    <w:p w14:paraId="3E9D44B3" w14:textId="77777777" w:rsidR="00800A03" w:rsidRDefault="00800A03" w:rsidP="00800A03">
      <w:pPr>
        <w:pStyle w:val="Prrafodelista"/>
        <w:numPr>
          <w:ilvl w:val="0"/>
          <w:numId w:val="26"/>
        </w:numPr>
        <w:suppressAutoHyphens w:val="0"/>
        <w:ind w:leftChars="0" w:firstLineChars="0"/>
        <w:jc w:val="both"/>
        <w:textDirection w:val="lrTb"/>
        <w:textAlignment w:val="auto"/>
        <w:outlineLvl w:val="9"/>
      </w:pPr>
      <w:r w:rsidRPr="00F566E7">
        <w:t>Compras de bienes o contratación de servicios a terceros</w:t>
      </w:r>
      <w:r>
        <w:t>:</w:t>
      </w:r>
      <w:r w:rsidRPr="00F566E7">
        <w:t xml:space="preserve"> factura comercial de</w:t>
      </w:r>
      <w:r>
        <w:t>l</w:t>
      </w:r>
      <w:r w:rsidRPr="00F566E7">
        <w:t xml:space="preserve"> proveedor registrado ante</w:t>
      </w:r>
      <w:r>
        <w:t xml:space="preserve"> </w:t>
      </w:r>
      <w:r w:rsidRPr="00F566E7">
        <w:t>DGI</w:t>
      </w:r>
      <w:r>
        <w:t xml:space="preserve"> (no se admite documentación comercial no oficial, por ejemplo, justificación de gastos a través de recibos comerciales</w:t>
      </w:r>
      <w:r w:rsidRPr="00F566E7">
        <w:t>)</w:t>
      </w:r>
    </w:p>
    <w:p w14:paraId="32615062" w14:textId="37EF8D63" w:rsidR="00800A03" w:rsidRDefault="00800A03" w:rsidP="00800A03">
      <w:pPr>
        <w:pStyle w:val="Prrafodelista"/>
        <w:numPr>
          <w:ilvl w:val="0"/>
          <w:numId w:val="26"/>
        </w:numPr>
        <w:suppressAutoHyphens w:val="0"/>
        <w:ind w:leftChars="0" w:firstLineChars="0"/>
        <w:jc w:val="both"/>
        <w:textDirection w:val="lrTb"/>
        <w:textAlignment w:val="auto"/>
        <w:outlineLvl w:val="9"/>
      </w:pPr>
      <w:r w:rsidRPr="00F566E7">
        <w:t xml:space="preserve">Bienes y/o servicios proporcionados por el Titular del proyecto </w:t>
      </w:r>
      <w:r>
        <w:t>o Privado que apoya:</w:t>
      </w:r>
      <w:r w:rsidRPr="00F566E7">
        <w:t xml:space="preserve"> Carta membretada y firmada por el </w:t>
      </w:r>
      <w:r w:rsidR="00C61F1C">
        <w:t>T</w:t>
      </w:r>
      <w:r w:rsidRPr="00F566E7">
        <w:t>itular, detallando montos y</w:t>
      </w:r>
      <w:r w:rsidR="00F260B8">
        <w:t xml:space="preserve"> </w:t>
      </w:r>
      <w:r w:rsidRPr="00F566E7">
        <w:t>bien y/o servicio aportado.</w:t>
      </w:r>
    </w:p>
    <w:p w14:paraId="1052116A" w14:textId="77777777" w:rsidR="00800A03" w:rsidRDefault="00800A03" w:rsidP="00800A03">
      <w:pPr>
        <w:pStyle w:val="Ttulo1"/>
        <w:ind w:left="1" w:hanging="3"/>
      </w:pPr>
      <w:r>
        <w:t>¿Cómo se paga?</w:t>
      </w:r>
    </w:p>
    <w:p w14:paraId="3772CD53" w14:textId="0900AC1A" w:rsidR="00800A03" w:rsidRDefault="00800A03" w:rsidP="00800A03">
      <w:pPr>
        <w:ind w:left="0" w:hanging="2"/>
        <w:jc w:val="both"/>
      </w:pPr>
      <w:r>
        <w:t xml:space="preserve">Mediante una transferencia bancaria desde la CND al </w:t>
      </w:r>
      <w:r w:rsidR="00C61F1C">
        <w:t>T</w:t>
      </w:r>
      <w:r>
        <w:t xml:space="preserve">itular del proyecto, con autorización de una Resolución de la DNE. El pago se realizará en una </w:t>
      </w:r>
      <w:r>
        <w:rPr>
          <w:b/>
        </w:rPr>
        <w:t>ú</w:t>
      </w:r>
      <w:r w:rsidRPr="00EC63FB">
        <w:rPr>
          <w:b/>
        </w:rPr>
        <w:t>nica transferencia</w:t>
      </w:r>
      <w:r>
        <w:t>.</w:t>
      </w:r>
    </w:p>
    <w:p w14:paraId="4A3BBD5F" w14:textId="4C0DEA9D" w:rsidR="00800A03" w:rsidRDefault="00800A03" w:rsidP="00800A03">
      <w:pPr>
        <w:ind w:left="0" w:hanging="2"/>
        <w:jc w:val="both"/>
      </w:pPr>
      <w:r>
        <w:lastRenderedPageBreak/>
        <w:t xml:space="preserve">Se acreditarán los fondos en la cuenta del </w:t>
      </w:r>
      <w:r w:rsidR="002D7204">
        <w:t>T</w:t>
      </w:r>
      <w:r>
        <w:t xml:space="preserve">itular del proyecto. En caso que el </w:t>
      </w:r>
      <w:r w:rsidR="002D7204">
        <w:t>T</w:t>
      </w:r>
      <w:r>
        <w:t xml:space="preserve">itular sea un Municipio y no disponga de una cuenta bancaria, podrá utilizar una cuenta de la Intendencia Departamental. </w:t>
      </w:r>
    </w:p>
    <w:p w14:paraId="70DCC5A4" w14:textId="4CEE56E3" w:rsidR="00800A03" w:rsidRDefault="00800A03" w:rsidP="00800A03">
      <w:pPr>
        <w:ind w:left="0" w:hanging="2"/>
        <w:jc w:val="both"/>
      </w:pPr>
      <w:r>
        <w:t xml:space="preserve">El procedimiento implica la presentación de una carta donde se declara: Titular, Banco, Tipo y Nº de cuenta y se adjuntarán las acreditaciones notariales correspondientes. Deberá registrarse como proveedor de CND presentando la carta que se detalla al final de este documento, exceptuando este registro si el </w:t>
      </w:r>
      <w:r w:rsidR="002D7204">
        <w:t>T</w:t>
      </w:r>
      <w:r>
        <w:t>itular se encuentra inscripto en el Registro único de Proveedores del Estado (RUPE). En caso de estar en el RUPE, no deberá realizar acción alguna siempre y cuando desee utilizar las cuentas bancarias allí registradas para recibir la transferencia.</w:t>
      </w:r>
    </w:p>
    <w:p w14:paraId="0D403E1E" w14:textId="77777777" w:rsidR="00800A03" w:rsidRDefault="00800A03" w:rsidP="00800A03">
      <w:pPr>
        <w:spacing w:after="360"/>
        <w:ind w:left="0" w:hanging="2"/>
        <w:jc w:val="both"/>
      </w:pPr>
    </w:p>
    <w:p w14:paraId="6D606ED7" w14:textId="5C732065" w:rsidR="004A7FB4" w:rsidRDefault="004A7FB4">
      <w:pPr>
        <w:suppressAutoHyphens w:val="0"/>
        <w:ind w:leftChars="0" w:left="0" w:firstLineChars="0"/>
        <w:textDirection w:val="lrTb"/>
        <w:textAlignment w:val="auto"/>
        <w:outlineLvl w:val="9"/>
        <w:rPr>
          <w:color w:val="1F497D"/>
        </w:rPr>
      </w:pPr>
      <w:r>
        <w:rPr>
          <w:color w:val="1F497D"/>
        </w:rPr>
        <w:br w:type="page"/>
      </w:r>
    </w:p>
    <w:p w14:paraId="74B89AB3" w14:textId="163B33EC" w:rsidR="001D65C7" w:rsidRDefault="00870362" w:rsidP="007E3E2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Chars="0" w:left="0" w:firstLineChars="0" w:firstLine="0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ANEXO III – FORMULARIO INFORMACIÓN DE CUENTA BANCARIA PARA PAGO A PROVEEDORES</w:t>
      </w:r>
    </w:p>
    <w:p w14:paraId="0409E925" w14:textId="729CB0E3" w:rsidR="009621AC" w:rsidRDefault="009621AC" w:rsidP="009621AC">
      <w:pPr>
        <w:keepNext/>
        <w:keepLines/>
        <w:tabs>
          <w:tab w:val="left" w:pos="426"/>
        </w:tabs>
        <w:spacing w:before="120" w:after="240"/>
        <w:ind w:left="0" w:hanging="2"/>
        <w:jc w:val="both"/>
      </w:pPr>
      <w:r>
        <w:t>Esta carta refleja la i</w:t>
      </w:r>
      <w:r w:rsidRPr="0045254F">
        <w:t xml:space="preserve">nformación a presentar </w:t>
      </w:r>
      <w:r>
        <w:t xml:space="preserve">el </w:t>
      </w:r>
      <w:r w:rsidR="002D7204">
        <w:t>T</w:t>
      </w:r>
      <w:r>
        <w:t xml:space="preserve">itular del proyecto con los </w:t>
      </w:r>
      <w:r w:rsidRPr="0045254F">
        <w:t xml:space="preserve">datos de cuentas bancarias </w:t>
      </w:r>
      <w:r>
        <w:t xml:space="preserve">en el registro ante la CND </w:t>
      </w:r>
      <w:r w:rsidRPr="0045254F">
        <w:t>por primera vez, o en caso de modificación en alguno de los datos ya presentados oportunamente.</w:t>
      </w:r>
    </w:p>
    <w:p w14:paraId="450B0365" w14:textId="751D603D" w:rsidR="004C63BF" w:rsidRDefault="009621AC" w:rsidP="009621AC">
      <w:pPr>
        <w:keepNext/>
        <w:keepLines/>
        <w:tabs>
          <w:tab w:val="left" w:pos="426"/>
        </w:tabs>
        <w:spacing w:before="120" w:after="240"/>
        <w:ind w:leftChars="0" w:left="0" w:firstLineChars="0" w:firstLine="0"/>
        <w:jc w:val="both"/>
        <w:rPr>
          <w:color w:val="000000" w:themeColor="text1"/>
        </w:rPr>
      </w:pPr>
      <w:r>
        <w:t xml:space="preserve">Se enviará a cada Titular del </w:t>
      </w:r>
      <w:r w:rsidR="002D7204">
        <w:t>p</w:t>
      </w:r>
      <w:r>
        <w:t>royecto este borrador de carta en un archivo independiente</w:t>
      </w:r>
    </w:p>
    <w:p w14:paraId="7B5972B4" w14:textId="617CDEDB" w:rsidR="00E23D06" w:rsidRDefault="004C63BF" w:rsidP="0081514E">
      <w:pPr>
        <w:pStyle w:val="Ttulo1"/>
        <w:ind w:left="1" w:hanging="3"/>
        <w:jc w:val="center"/>
      </w:pPr>
      <w:r>
        <w:rPr>
          <w:noProof/>
          <w:lang w:val="es-UY" w:eastAsia="es-UY"/>
        </w:rPr>
        <w:drawing>
          <wp:inline distT="0" distB="0" distL="0" distR="0" wp14:anchorId="20284C7C" wp14:editId="227B2511">
            <wp:extent cx="4486275" cy="694136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17" t="16086" r="33516" b="7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94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8959" w14:textId="77777777" w:rsidR="0081514E" w:rsidRDefault="0081514E" w:rsidP="0081514E">
      <w:pPr>
        <w:ind w:left="0" w:hanging="2"/>
        <w:rPr>
          <w:lang w:val="es-ES"/>
        </w:rPr>
      </w:pPr>
    </w:p>
    <w:p w14:paraId="3A4F5E2A" w14:textId="77777777" w:rsidR="0081514E" w:rsidRDefault="0081514E" w:rsidP="0081514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Chars="0" w:left="0" w:firstLineChars="0" w:firstLine="0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ANEXO IV – REQUERIMIENTOS MINIMOS POR TECNOLOGÍA</w:t>
      </w:r>
    </w:p>
    <w:p w14:paraId="11DC3B11" w14:textId="77777777" w:rsidR="0081514E" w:rsidRPr="0081514E" w:rsidRDefault="0081514E" w:rsidP="0081514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b/>
        </w:rPr>
      </w:pPr>
      <w:r w:rsidRPr="0081514E">
        <w:rPr>
          <w:b/>
        </w:rPr>
        <w:t>Iluminación – sustitución o incorporación de luminarias LED exteriores e interiores</w:t>
      </w:r>
    </w:p>
    <w:p w14:paraId="550773E6" w14:textId="70379A82" w:rsidR="0081514E" w:rsidRDefault="0081514E" w:rsidP="0081514E">
      <w:pPr>
        <w:ind w:leftChars="0" w:left="0" w:firstLineChars="0" w:hanging="2"/>
      </w:pPr>
      <w:r>
        <w:t>Se consideran como medida</w:t>
      </w:r>
      <w:r w:rsidR="00365C0C">
        <w:t>s</w:t>
      </w:r>
      <w:r>
        <w:t xml:space="preserve"> de eficiencia energética aquellos proyectos de iluminación interior que incorporen artefactos con un nivel de eficacia mayor a 100 lm/W y 25.000 horas de durabilidad. Para el caso de iluminación exterior</w:t>
      </w:r>
      <w:r w:rsidR="00365C0C">
        <w:t>,</w:t>
      </w:r>
      <w:r>
        <w:t xml:space="preserve"> se pide que los artefactos cuenten con una eficacia superior a 120 lm/W, 50.000 horas de durabilidad, nivel de protección IP 65 y una garantía mínima de 3 años. </w:t>
      </w:r>
    </w:p>
    <w:p w14:paraId="19F62FB3" w14:textId="77777777" w:rsidR="0081514E" w:rsidRPr="0081514E" w:rsidRDefault="0081514E" w:rsidP="0081514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b/>
        </w:rPr>
      </w:pPr>
      <w:r w:rsidRPr="0081514E">
        <w:rPr>
          <w:b/>
        </w:rPr>
        <w:t>Vehículos Eléctricos</w:t>
      </w:r>
    </w:p>
    <w:p w14:paraId="0BF5E92D" w14:textId="0E45771D" w:rsidR="0081514E" w:rsidRDefault="0081514E" w:rsidP="0081514E">
      <w:pPr>
        <w:ind w:leftChars="0" w:left="-2" w:firstLineChars="0" w:firstLine="0"/>
      </w:pPr>
      <w:r>
        <w:t>Se pueden postular aquellos vehículos con batería de litio o superior densidad gravimétrica de energía por ser más eficientes, tener mayor vida útil y menores efectos en la salud y el ambiente que aquellos que cuentan con baterías de plomo</w:t>
      </w:r>
      <w:r w:rsidR="00104102">
        <w:t xml:space="preserve">. </w:t>
      </w:r>
      <w:r w:rsidR="00104102" w:rsidRPr="00034DB2">
        <w:t>Asimismo deberán contar con una potencia de motor igual o superior a los 500 W, quedando excluido de este requerimiento los vehículos de pedaleo asistido</w:t>
      </w:r>
      <w:r w:rsidRPr="00034DB2">
        <w:t>.</w:t>
      </w:r>
    </w:p>
    <w:p w14:paraId="3AA29953" w14:textId="77777777" w:rsidR="0081514E" w:rsidRDefault="0081514E" w:rsidP="0081514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</w:pPr>
    </w:p>
    <w:p w14:paraId="73FF0CA1" w14:textId="77777777" w:rsidR="0081514E" w:rsidRPr="0081514E" w:rsidRDefault="0081514E" w:rsidP="0081514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b/>
        </w:rPr>
      </w:pPr>
      <w:r w:rsidRPr="0081514E">
        <w:rPr>
          <w:b/>
        </w:rPr>
        <w:t xml:space="preserve">Mejoras en la envolvente edilicia </w:t>
      </w:r>
    </w:p>
    <w:p w14:paraId="4DFBFE90" w14:textId="631D4707" w:rsidR="0081514E" w:rsidRDefault="0081514E" w:rsidP="0081514E">
      <w:pPr>
        <w:ind w:leftChars="0" w:left="0" w:firstLineChars="0" w:firstLine="0"/>
      </w:pPr>
      <w:r>
        <w:t>Se puede colocar un vidrio aislante, llamado Doble Vidriado Hermético (DVH). Está compuesto de dos paños de vidrio dispuestos en paralelo y separadas entre sí mediante un espaciador, el cual a su vez contiene material desecante. El sellado de borde</w:t>
      </w:r>
      <w:r w:rsidR="00F260B8">
        <w:t xml:space="preserve"> </w:t>
      </w:r>
      <w:r>
        <w:t>de la unidad</w:t>
      </w:r>
      <w:r w:rsidR="00F260B8">
        <w:t xml:space="preserve"> </w:t>
      </w:r>
      <w:r>
        <w:t xml:space="preserve">otorga resistencia mecánica y limita el pasaje de humedad al interior de la unidad. </w:t>
      </w:r>
    </w:p>
    <w:p w14:paraId="5761A9E3" w14:textId="77777777" w:rsidR="0081514E" w:rsidRDefault="0081514E" w:rsidP="0081514E">
      <w:pPr>
        <w:ind w:leftChars="0" w:left="-2" w:firstLineChars="0" w:firstLine="0"/>
      </w:pPr>
      <w:r>
        <w:t>Poseen ventajas frente al uso del vidrio simple, ya que mejora sus prestaciones en relación a su despeño térmico y acústico. Sus prestaciones dependen de los tipos de vidrio que la componen, del espesor de la cámara y del tipo de gas que contiene dentro.</w:t>
      </w:r>
    </w:p>
    <w:p w14:paraId="58BF3F8E" w14:textId="77777777" w:rsidR="0081514E" w:rsidRDefault="0081514E" w:rsidP="0081514E">
      <w:pPr>
        <w:ind w:leftChars="0" w:left="0" w:firstLineChars="0" w:hanging="2"/>
      </w:pPr>
      <w:r>
        <w:t>Se encargan a las empresas que poseen la tecnología de fabricación de estas unidades, que garantizan su correcto desempeño.</w:t>
      </w:r>
    </w:p>
    <w:p w14:paraId="7AE0D1FB" w14:textId="36797828" w:rsidR="0081514E" w:rsidRPr="00034DB2" w:rsidRDefault="0081514E" w:rsidP="0081514E">
      <w:pPr>
        <w:ind w:leftChars="0" w:left="0" w:firstLineChars="0" w:hanging="2"/>
      </w:pPr>
      <w:r w:rsidRPr="00034DB2">
        <w:t>Colocación de aislamiento térmico en techos o paredes. Se deberán presentar los detalles constructivos de las soluciones para evitar riesgo de</w:t>
      </w:r>
      <w:r w:rsidR="00F260B8">
        <w:t xml:space="preserve"> </w:t>
      </w:r>
      <w:r w:rsidRPr="00034DB2">
        <w:t>condensación de vapor de agua, lo que puede comprometer la eficiencia energética</w:t>
      </w:r>
      <w:r w:rsidR="00F260B8">
        <w:t xml:space="preserve"> </w:t>
      </w:r>
      <w:r w:rsidRPr="00034DB2">
        <w:t xml:space="preserve">y durabilidad de la medida. </w:t>
      </w:r>
    </w:p>
    <w:p w14:paraId="2F3826CB" w14:textId="77777777" w:rsidR="0081514E" w:rsidRPr="00034DB2" w:rsidRDefault="0081514E" w:rsidP="0081514E">
      <w:pPr>
        <w:ind w:leftChars="0" w:left="0" w:firstLineChars="0" w:hanging="2"/>
      </w:pPr>
      <w:r w:rsidRPr="00034DB2">
        <w:t>Colocación de protecciones solares en aquellas aberturas donde la incidencia del sol en el verano compromete las condiciones de confort o generan un costo adicional para su acondicionamiento térmico.</w:t>
      </w:r>
    </w:p>
    <w:p w14:paraId="183508F3" w14:textId="77777777" w:rsidR="0081514E" w:rsidRPr="0081514E" w:rsidRDefault="0081514E" w:rsidP="0081514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b/>
        </w:rPr>
      </w:pPr>
      <w:r w:rsidRPr="0081514E">
        <w:rPr>
          <w:b/>
        </w:rPr>
        <w:t>Acondicionadores de aire</w:t>
      </w:r>
    </w:p>
    <w:p w14:paraId="37C40470" w14:textId="386AD924" w:rsidR="00C645CE" w:rsidRPr="00C645CE" w:rsidRDefault="00561FA9" w:rsidP="00C645CE">
      <w:pPr>
        <w:ind w:leftChars="0" w:left="0" w:firstLineChars="0" w:hanging="2"/>
        <w:textDirection w:val="lrTb"/>
      </w:pPr>
      <w:r>
        <w:t xml:space="preserve">Todos los equipos a ser incluidos en el proyecto deberán ser inverter. Asimismo, los menores a 24000 BTU/h deberán ser </w:t>
      </w:r>
      <w:r w:rsidR="00C645CE" w:rsidRPr="00C645CE">
        <w:t>categoría A en el marco del Sistema Nacional de Etiquetado</w:t>
      </w:r>
      <w:r>
        <w:t>.</w:t>
      </w:r>
      <w:r w:rsidR="00F260B8">
        <w:t xml:space="preserve"> </w:t>
      </w:r>
    </w:p>
    <w:p w14:paraId="565BEFC2" w14:textId="77777777" w:rsidR="00C645CE" w:rsidRDefault="00C645CE" w:rsidP="0081514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b/>
        </w:rPr>
      </w:pPr>
    </w:p>
    <w:p w14:paraId="1ED150BD" w14:textId="75EB139A" w:rsidR="0081514E" w:rsidRPr="0081514E" w:rsidRDefault="0081514E" w:rsidP="0081514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b/>
        </w:rPr>
      </w:pPr>
      <w:r w:rsidRPr="0081514E">
        <w:rPr>
          <w:b/>
        </w:rPr>
        <w:t>Colectores Solares Térmicos</w:t>
      </w:r>
    </w:p>
    <w:p w14:paraId="7E1C2227" w14:textId="13F67EC0" w:rsidR="0081514E" w:rsidRPr="00644332" w:rsidRDefault="0081514E" w:rsidP="0081514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</w:pPr>
      <w:r>
        <w:t xml:space="preserve">Los equipos de energía solar térmica a instalar deben estar autorizados por URSEA </w:t>
      </w:r>
    </w:p>
    <w:p w14:paraId="4B78909B" w14:textId="77777777" w:rsidR="0081514E" w:rsidRDefault="0081514E" w:rsidP="0081514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</w:pPr>
    </w:p>
    <w:p w14:paraId="18573BF7" w14:textId="77777777" w:rsidR="0081514E" w:rsidRPr="0081514E" w:rsidRDefault="0081514E" w:rsidP="0081514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b/>
        </w:rPr>
      </w:pPr>
      <w:r w:rsidRPr="0081514E">
        <w:rPr>
          <w:b/>
        </w:rPr>
        <w:t>Otras medidas de eficiencia energéticas</w:t>
      </w:r>
    </w:p>
    <w:p w14:paraId="0514C260" w14:textId="6B50645F" w:rsidR="0081514E" w:rsidRDefault="0081514E" w:rsidP="0081514E">
      <w:pPr>
        <w:ind w:leftChars="0" w:left="0" w:firstLineChars="0" w:firstLine="0"/>
        <w:rPr>
          <w:lang w:val="es-ES"/>
        </w:rPr>
      </w:pPr>
      <w:r>
        <w:t>Para otras medidas de eficiencia energética presentadas, la DNE se reserva el derecho de solicitar los requerimientos mínimos que considere de acuerdo a la medida presentada</w:t>
      </w:r>
    </w:p>
    <w:p w14:paraId="158DD35D" w14:textId="495545E8" w:rsidR="00034DB2" w:rsidRDefault="00034DB2" w:rsidP="00034DB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Chars="0" w:left="0" w:firstLineChars="0" w:firstLine="0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ANEXO V – </w:t>
      </w:r>
      <w:r w:rsidR="00494731">
        <w:rPr>
          <w:b/>
          <w:color w:val="00B050"/>
          <w:sz w:val="28"/>
          <w:szCs w:val="28"/>
        </w:rPr>
        <w:t>CÁ</w:t>
      </w:r>
      <w:r w:rsidR="00397D25">
        <w:rPr>
          <w:b/>
          <w:color w:val="00B050"/>
          <w:sz w:val="28"/>
          <w:szCs w:val="28"/>
        </w:rPr>
        <w:t>LCULO DE</w:t>
      </w:r>
      <w:r w:rsidR="00494731">
        <w:rPr>
          <w:b/>
          <w:color w:val="00B050"/>
          <w:sz w:val="28"/>
          <w:szCs w:val="28"/>
        </w:rPr>
        <w:t>L INDICADOR DE AHORRO ENERGÉTICO DEL PROYECTO</w:t>
      </w:r>
      <w:r w:rsidR="00397D25">
        <w:rPr>
          <w:b/>
          <w:color w:val="00B050"/>
          <w:sz w:val="28"/>
          <w:szCs w:val="28"/>
        </w:rPr>
        <w:t xml:space="preserve"> </w:t>
      </w:r>
    </w:p>
    <w:p w14:paraId="53C79FC4" w14:textId="6B595489" w:rsidR="00494731" w:rsidRPr="00494731" w:rsidRDefault="00494731" w:rsidP="00494731">
      <w:pPr>
        <w:ind w:leftChars="0" w:left="0" w:firstLineChars="0" w:firstLine="0"/>
      </w:pPr>
      <w:r>
        <w:t xml:space="preserve">El indicador de ahorros energéticos del proyecto se determina por comparación entre el cociente de energía evitada en la vida útil del proyecto (tep) sobre la inversión total en el proyecto </w:t>
      </w:r>
      <w:r w:rsidRPr="00494731">
        <w:t xml:space="preserve">y el valor máximo hallado de este mismo cociente para </w:t>
      </w:r>
      <w:r w:rsidR="00E86123">
        <w:t>ediciones anteriores</w:t>
      </w:r>
      <w:r w:rsidRPr="00494731">
        <w:t xml:space="preserve"> del programa Localidades Eficientes. El valor de energía evitada en la vida útil del proyecto lo calcula la Dirección Nacional de Energía en base a la información entregada por los postulantes en la pestaña “Datos Técnicos” del formulario de postulación. </w:t>
      </w:r>
    </w:p>
    <w:p w14:paraId="072241DC" w14:textId="39F8BD3C" w:rsidR="00494731" w:rsidRPr="009517E2" w:rsidRDefault="00494731" w:rsidP="00494731">
      <w:pPr>
        <w:ind w:left="0" w:hanging="2"/>
      </w:pPr>
      <w:r>
        <w:rPr>
          <w:rFonts w:eastAsiaTheme="minorEastAsia"/>
        </w:rPr>
        <w:t>El valor del cociente quedó determinado en</w:t>
      </w:r>
      <w:r>
        <w:t xml:space="preserve"> 0.0000343 tep/$</w:t>
      </w:r>
      <w:r w:rsidRPr="00A1342B">
        <w:rPr>
          <w:sz w:val="16"/>
        </w:rPr>
        <w:t>Total proyecto</w:t>
      </w:r>
      <w:r>
        <w:rPr>
          <w:sz w:val="16"/>
        </w:rPr>
        <w:t xml:space="preserve">. </w:t>
      </w:r>
      <w:r>
        <w:t>Por lo tanto el indicador de ahorros energéticos se calculará de la siguiente forma:</w:t>
      </w:r>
      <w:r w:rsidR="00F260B8">
        <w:t xml:space="preserve"> </w:t>
      </w:r>
    </w:p>
    <w:p w14:paraId="48455AFB" w14:textId="77777777" w:rsidR="00494731" w:rsidRPr="00D668C2" w:rsidRDefault="00494731" w:rsidP="00494731">
      <w:pPr>
        <w:ind w:left="0" w:hanging="2"/>
      </w:pPr>
      <m:oMathPara>
        <m:oMath>
          <m:r>
            <w:rPr>
              <w:rFonts w:ascii="Cambria Math" w:hAnsi="Cambria Math"/>
            </w:rPr>
            <m:t>Indicador de Ahorro Energético=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cociente del proyecto postulado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0.0000343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27C022A8" w14:textId="77777777" w:rsidR="00494731" w:rsidRDefault="00494731" w:rsidP="00494731">
      <w:pPr>
        <w:ind w:left="0" w:hanging="2"/>
      </w:pPr>
    </w:p>
    <w:p w14:paraId="10FE47D9" w14:textId="77777777" w:rsidR="00494731" w:rsidRPr="00071BD3" w:rsidRDefault="00494731" w:rsidP="00494731">
      <w:pPr>
        <w:ind w:left="0" w:hanging="2"/>
        <w:rPr>
          <w:rFonts w:eastAsiaTheme="minorEastAsia"/>
        </w:rPr>
      </w:pPr>
      <w:r w:rsidRPr="00071BD3">
        <w:rPr>
          <w:rFonts w:eastAsiaTheme="minorEastAsia"/>
        </w:rPr>
        <w:t>El valor de</w:t>
      </w:r>
      <w:r>
        <w:rPr>
          <w:rFonts w:eastAsiaTheme="minorEastAsia"/>
        </w:rPr>
        <w:t xml:space="preserve"> este indicador </w:t>
      </w:r>
      <w:r w:rsidRPr="00071BD3">
        <w:rPr>
          <w:rFonts w:eastAsiaTheme="minorEastAsia"/>
        </w:rPr>
        <w:t xml:space="preserve">se define entre 0 y 1 por lo que los proyectos que </w:t>
      </w:r>
      <w:r>
        <w:rPr>
          <w:rFonts w:eastAsiaTheme="minorEastAsia"/>
        </w:rPr>
        <w:t xml:space="preserve">tengan un cociente </w:t>
      </w:r>
      <w:r w:rsidRPr="00071BD3">
        <w:rPr>
          <w:rFonts w:eastAsiaTheme="minorEastAsia"/>
        </w:rPr>
        <w:t>por encima de 0.</w:t>
      </w:r>
      <w:r>
        <w:rPr>
          <w:rFonts w:eastAsiaTheme="minorEastAsia"/>
        </w:rPr>
        <w:t xml:space="preserve">0000343 tep/$ se los definirá con el valor 1. </w:t>
      </w:r>
    </w:p>
    <w:p w14:paraId="08718258" w14:textId="77777777" w:rsidR="0081514E" w:rsidRPr="00494731" w:rsidRDefault="0081514E" w:rsidP="0081514E">
      <w:pPr>
        <w:ind w:left="0" w:hanging="2"/>
      </w:pPr>
    </w:p>
    <w:sectPr w:rsidR="0081514E" w:rsidRPr="00494731" w:rsidSect="006B6C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701" w:right="1701" w:bottom="709" w:left="1559" w:header="284" w:footer="531" w:gutter="0"/>
      <w:pgNumType w:start="1"/>
      <w:cols w:space="720" w:equalWidth="0">
        <w:col w:w="9360"/>
      </w:cols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5AEE" w16cex:dateUtc="2021-04-23T17:40:00Z"/>
  <w16cex:commentExtensible w16cex:durableId="24325388" w16cex:dateUtc="2021-04-27T12:10:00Z"/>
  <w16cex:commentExtensible w16cex:durableId="242D5AAB" w16cex:dateUtc="2021-04-23T17:39:00Z"/>
  <w16cex:commentExtensible w16cex:durableId="242D5B35" w16cex:dateUtc="2021-04-23T17:41:00Z"/>
  <w16cex:commentExtensible w16cex:durableId="24324C3F" w16cex:dateUtc="2021-04-27T11:39:00Z"/>
  <w16cex:commentExtensible w16cex:durableId="243314B5" w16cex:dateUtc="2021-04-28T0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91D287" w16cid:durableId="242D5AEE"/>
  <w16cid:commentId w16cid:paraId="447072A2" w16cid:durableId="24315C34"/>
  <w16cid:commentId w16cid:paraId="7C0F145C" w16cid:durableId="24325388"/>
  <w16cid:commentId w16cid:paraId="3F3351A1" w16cid:durableId="242D5AAB"/>
  <w16cid:commentId w16cid:paraId="0AE9DD59" w16cid:durableId="242D5B35"/>
  <w16cid:commentId w16cid:paraId="5D95DAD9" w16cid:durableId="24324C3F"/>
  <w16cid:commentId w16cid:paraId="086A264A" w16cid:durableId="2432ABE2"/>
  <w16cid:commentId w16cid:paraId="36635BEA" w16cid:durableId="24315C38"/>
  <w16cid:commentId w16cid:paraId="20FE57E7" w16cid:durableId="243314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D7639" w14:textId="77777777" w:rsidR="000B1630" w:rsidRDefault="000B163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F149CFB" w14:textId="77777777" w:rsidR="000B1630" w:rsidRDefault="000B1630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67E102F8" w14:textId="77777777" w:rsidR="000B1630" w:rsidRDefault="000B1630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72" w14:textId="77777777" w:rsidR="00FF31F4" w:rsidRDefault="00FF31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74" w14:textId="61AE76CB" w:rsidR="00FF31F4" w:rsidRDefault="00FF31F4">
    <w:pPr>
      <w:pBdr>
        <w:top w:val="single" w:sz="8" w:space="1" w:color="A6A6A6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-285" w:hanging="2"/>
      <w:jc w:val="right"/>
      <w:rPr>
        <w:color w:val="A6A6A6"/>
      </w:rPr>
    </w:pPr>
    <w:r>
      <w:rPr>
        <w:color w:val="A6A6A6"/>
        <w:sz w:val="20"/>
        <w:szCs w:val="20"/>
      </w:rPr>
      <w:t xml:space="preserve">Página </w:t>
    </w:r>
    <w:r>
      <w:rPr>
        <w:color w:val="A6A6A6"/>
        <w:sz w:val="20"/>
        <w:szCs w:val="20"/>
      </w:rPr>
      <w:fldChar w:fldCharType="begin"/>
    </w:r>
    <w:r>
      <w:rPr>
        <w:color w:val="A6A6A6"/>
        <w:sz w:val="20"/>
        <w:szCs w:val="20"/>
      </w:rPr>
      <w:instrText>PAGE</w:instrText>
    </w:r>
    <w:r>
      <w:rPr>
        <w:color w:val="A6A6A6"/>
        <w:sz w:val="20"/>
        <w:szCs w:val="20"/>
      </w:rPr>
      <w:fldChar w:fldCharType="separate"/>
    </w:r>
    <w:r w:rsidR="008B5448">
      <w:rPr>
        <w:noProof/>
        <w:color w:val="A6A6A6"/>
        <w:sz w:val="20"/>
        <w:szCs w:val="20"/>
      </w:rPr>
      <w:t>6</w:t>
    </w:r>
    <w:r>
      <w:rPr>
        <w:color w:val="A6A6A6"/>
        <w:sz w:val="20"/>
        <w:szCs w:val="20"/>
      </w:rPr>
      <w:fldChar w:fldCharType="end"/>
    </w:r>
    <w:r>
      <w:rPr>
        <w:color w:val="A6A6A6"/>
        <w:sz w:val="20"/>
        <w:szCs w:val="20"/>
      </w:rPr>
      <w:t xml:space="preserve"> de </w:t>
    </w:r>
    <w:r>
      <w:rPr>
        <w:color w:val="A6A6A6"/>
        <w:sz w:val="20"/>
        <w:szCs w:val="20"/>
      </w:rPr>
      <w:fldChar w:fldCharType="begin"/>
    </w:r>
    <w:r>
      <w:rPr>
        <w:color w:val="A6A6A6"/>
        <w:sz w:val="20"/>
        <w:szCs w:val="20"/>
      </w:rPr>
      <w:instrText>NUMPAGES</w:instrText>
    </w:r>
    <w:r>
      <w:rPr>
        <w:color w:val="A6A6A6"/>
        <w:sz w:val="20"/>
        <w:szCs w:val="20"/>
      </w:rPr>
      <w:fldChar w:fldCharType="separate"/>
    </w:r>
    <w:r w:rsidR="008B5448">
      <w:rPr>
        <w:noProof/>
        <w:color w:val="A6A6A6"/>
        <w:sz w:val="20"/>
        <w:szCs w:val="20"/>
      </w:rPr>
      <w:t>13</w:t>
    </w:r>
    <w:r>
      <w:rPr>
        <w:color w:val="A6A6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73" w14:textId="77777777" w:rsidR="00FF31F4" w:rsidRDefault="00FF31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29939" w14:textId="77777777" w:rsidR="000B1630" w:rsidRDefault="000B163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D6C6F39" w14:textId="77777777" w:rsidR="000B1630" w:rsidRDefault="000B1630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58FD5A36" w14:textId="77777777" w:rsidR="000B1630" w:rsidRDefault="000B1630">
      <w:pPr>
        <w:spacing w:after="0" w:line="240" w:lineRule="auto"/>
        <w:ind w:left="0" w:hanging="2"/>
      </w:pPr>
    </w:p>
  </w:footnote>
  <w:footnote w:id="2">
    <w:p w14:paraId="0060DF75" w14:textId="378350B4" w:rsidR="00FF31F4" w:rsidRDefault="00FF31F4">
      <w:pPr>
        <w:pStyle w:val="Textonotapie"/>
        <w:ind w:left="0" w:hanging="2"/>
      </w:pPr>
      <w:r w:rsidRPr="000A5C82">
        <w:rPr>
          <w:rStyle w:val="Refdenotaalpie"/>
        </w:rPr>
        <w:footnoteRef/>
      </w:r>
      <w:r w:rsidRPr="000A5C82">
        <w:t xml:space="preserve"> En estos casos se asumirá para los cálculos los datos correspondientes a la localidad de mayor población.</w:t>
      </w:r>
    </w:p>
  </w:footnote>
  <w:footnote w:id="3">
    <w:p w14:paraId="43AA4D07" w14:textId="3C94511A" w:rsidR="00BC66AE" w:rsidRPr="000A5C82" w:rsidRDefault="00BC66AE" w:rsidP="00BC66AE">
      <w:pPr>
        <w:pStyle w:val="Textonotapie"/>
        <w:ind w:left="0" w:hanging="2"/>
        <w:rPr>
          <w:lang w:val="es-ES"/>
        </w:rPr>
      </w:pPr>
      <w:r w:rsidRPr="000A5C82">
        <w:rPr>
          <w:rStyle w:val="Refdenotaalpie"/>
        </w:rPr>
        <w:footnoteRef/>
      </w:r>
      <w:r w:rsidRPr="000A5C82">
        <w:t xml:space="preserve"> </w:t>
      </w:r>
      <w:r w:rsidRPr="000A5C82">
        <w:rPr>
          <w:lang w:val="es-ES"/>
        </w:rPr>
        <w:t>Si la titularidad del predio es pública pero el usufructo es privado, el proyecto se considerará privado</w:t>
      </w:r>
    </w:p>
  </w:footnote>
  <w:footnote w:id="4">
    <w:p w14:paraId="59EAB810" w14:textId="57946B9E" w:rsidR="00FF31F4" w:rsidRDefault="00FF31F4" w:rsidP="00EE74ED">
      <w:pPr>
        <w:pStyle w:val="Textonotapie"/>
        <w:ind w:left="0" w:hanging="2"/>
      </w:pPr>
      <w:r w:rsidRPr="000A5C82">
        <w:rPr>
          <w:rStyle w:val="Refdenotaalpie"/>
        </w:rPr>
        <w:footnoteRef/>
      </w:r>
      <w:r w:rsidRPr="000A5C82">
        <w:t xml:space="preserve"> Es el porcentaje de aporte económico del sector privado al </w:t>
      </w:r>
      <w:r w:rsidR="00806C65" w:rsidRPr="000A5C82">
        <w:t xml:space="preserve">monto </w:t>
      </w:r>
      <w:r w:rsidRPr="000A5C82">
        <w:t xml:space="preserve">total del proyecto </w:t>
      </w:r>
    </w:p>
  </w:footnote>
  <w:footnote w:id="5">
    <w:p w14:paraId="153E8C22" w14:textId="47C2A84C" w:rsidR="000A5C82" w:rsidRDefault="000A5C82">
      <w:pPr>
        <w:pStyle w:val="Textonotapie"/>
        <w:ind w:left="0" w:hanging="2"/>
      </w:pPr>
      <w:r>
        <w:rPr>
          <w:rStyle w:val="Refdenotaalpie"/>
        </w:rPr>
        <w:footnoteRef/>
      </w:r>
      <w:r>
        <w:t xml:space="preserve"> También tienen la opción de enviarlo en un pendrive </w:t>
      </w:r>
      <w:r w:rsidR="00C42035">
        <w:t xml:space="preserve">a Rincón 719, </w:t>
      </w:r>
      <w:r>
        <w:t xml:space="preserve">si así </w:t>
      </w:r>
      <w:r w:rsidR="00C42035">
        <w:t>se</w:t>
      </w:r>
      <w:r>
        <w:t xml:space="preserve"> </w:t>
      </w:r>
      <w:r w:rsidR="00C42035">
        <w:t>prefiere.</w:t>
      </w:r>
    </w:p>
  </w:footnote>
  <w:footnote w:id="6">
    <w:p w14:paraId="73A814AF" w14:textId="1DEB6173" w:rsidR="00FF31F4" w:rsidRPr="00F0479F" w:rsidRDefault="00FF31F4" w:rsidP="000659F9">
      <w:pPr>
        <w:pStyle w:val="Textonotapie"/>
        <w:ind w:left="0" w:hanging="2"/>
        <w:rPr>
          <w:sz w:val="18"/>
        </w:rPr>
      </w:pPr>
      <w:r w:rsidRPr="000A5C82">
        <w:rPr>
          <w:rStyle w:val="Refdenotaalpie"/>
        </w:rPr>
        <w:footnoteRef/>
      </w:r>
      <w:r w:rsidRPr="000A5C82">
        <w:t xml:space="preserve"> Se incluye en este punto las bicicletas o triciclos electroasistidos</w:t>
      </w:r>
    </w:p>
  </w:footnote>
  <w:footnote w:id="7">
    <w:p w14:paraId="19D37F0E" w14:textId="4A81717C" w:rsidR="002053B5" w:rsidRPr="00205906" w:rsidRDefault="002053B5" w:rsidP="002053B5">
      <w:pPr>
        <w:pStyle w:val="Textonotapie"/>
        <w:ind w:left="0" w:hanging="2"/>
        <w:rPr>
          <w:lang w:val="es-ES"/>
        </w:rPr>
      </w:pPr>
      <w:r w:rsidRPr="00205906">
        <w:rPr>
          <w:rStyle w:val="Refdenotaalpie"/>
        </w:rPr>
        <w:footnoteRef/>
      </w:r>
      <w:r w:rsidRPr="00205906">
        <w:t xml:space="preserve"> </w:t>
      </w:r>
      <w:r w:rsidRPr="00205906">
        <w:rPr>
          <w:lang w:val="es-ES"/>
        </w:rPr>
        <w:t>En el caso de proyectos que combinen más de una categoría se tomará en cuenta</w:t>
      </w:r>
      <w:r w:rsidR="001D3E83">
        <w:rPr>
          <w:lang w:val="es-ES"/>
        </w:rPr>
        <w:t xml:space="preserve"> únicamente</w:t>
      </w:r>
      <w:r w:rsidRPr="00205906">
        <w:rPr>
          <w:lang w:val="es-ES"/>
        </w:rPr>
        <w:t xml:space="preserve"> la de mayor valor</w:t>
      </w:r>
      <w:r w:rsidR="001D3E83">
        <w:rPr>
          <w:lang w:val="es-ES"/>
        </w:rPr>
        <w:t xml:space="preserve"> económico en el total del proyecto</w:t>
      </w:r>
    </w:p>
  </w:footnote>
  <w:footnote w:id="8">
    <w:p w14:paraId="27212015" w14:textId="011A7D73" w:rsidR="002053B5" w:rsidRPr="002053B5" w:rsidRDefault="002053B5" w:rsidP="002053B5">
      <w:pPr>
        <w:pStyle w:val="Textonotapie"/>
        <w:ind w:left="0" w:hanging="2"/>
        <w:rPr>
          <w:lang w:val="es-ES"/>
        </w:rPr>
      </w:pPr>
      <w:r w:rsidRPr="00205906">
        <w:rPr>
          <w:rStyle w:val="Refdenotaalpie"/>
        </w:rPr>
        <w:footnoteRef/>
      </w:r>
      <w:r w:rsidRPr="00205906">
        <w:t xml:space="preserve"> </w:t>
      </w:r>
      <w:r w:rsidRPr="00205906">
        <w:rPr>
          <w:lang w:val="es-ES"/>
        </w:rPr>
        <w:t>El cálculo de energía evitada lo realiza internamente DNE con base a la información provista por el postulante</w:t>
      </w:r>
      <w:r w:rsidR="00981070" w:rsidRPr="00205906">
        <w:rPr>
          <w:lang w:val="es-ES"/>
        </w:rPr>
        <w:t xml:space="preserve"> con la metodología que se explicita en el ANEXO </w:t>
      </w:r>
      <w:r w:rsidR="00C95135" w:rsidRPr="00205906">
        <w:rPr>
          <w:lang w:val="es-ES"/>
        </w:rPr>
        <w:t>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70" w14:textId="77777777" w:rsidR="00FF31F4" w:rsidRDefault="00FF31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6E" w14:textId="60614147" w:rsidR="00FF31F4" w:rsidRDefault="00FF31F4" w:rsidP="00FF4F49">
    <w:pPr>
      <w:pBdr>
        <w:top w:val="nil"/>
        <w:left w:val="nil"/>
        <w:bottom w:val="single" w:sz="8" w:space="1" w:color="A6A6A6"/>
        <w:right w:val="nil"/>
        <w:between w:val="nil"/>
      </w:pBdr>
      <w:tabs>
        <w:tab w:val="center" w:pos="4252"/>
        <w:tab w:val="right" w:pos="8504"/>
      </w:tabs>
      <w:spacing w:after="240" w:line="240" w:lineRule="auto"/>
      <w:ind w:left="0" w:right="-284" w:hanging="2"/>
      <w:jc w:val="both"/>
      <w:rPr>
        <w:color w:val="000000"/>
        <w:sz w:val="4"/>
        <w:szCs w:val="4"/>
      </w:rPr>
    </w:pPr>
    <w:r>
      <w:rPr>
        <w:noProof/>
        <w:lang w:eastAsia="es-UY"/>
      </w:rPr>
      <w:drawing>
        <wp:inline distT="0" distB="0" distL="0" distR="0" wp14:anchorId="0E122653" wp14:editId="0A1A5A64">
          <wp:extent cx="5490845" cy="4783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845" cy="47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z w:val="4"/>
        <w:szCs w:val="4"/>
      </w:rPr>
      <w:t xml:space="preserve">                                                                                                                            </w:t>
    </w:r>
    <w:r>
      <w:rPr>
        <w:color w:val="000000"/>
        <w:sz w:val="4"/>
        <w:szCs w:val="4"/>
      </w:rPr>
      <w:tab/>
    </w:r>
    <w:r>
      <w:rPr>
        <w:color w:val="000000"/>
        <w:sz w:val="4"/>
        <w:szCs w:val="4"/>
      </w:rPr>
      <w:tab/>
    </w:r>
  </w:p>
  <w:p w14:paraId="0000026F" w14:textId="77777777" w:rsidR="00FF31F4" w:rsidRDefault="00FF31F4">
    <w:pPr>
      <w:pBdr>
        <w:top w:val="nil"/>
        <w:left w:val="nil"/>
        <w:bottom w:val="single" w:sz="8" w:space="1" w:color="A6A6A6"/>
        <w:right w:val="nil"/>
        <w:between w:val="nil"/>
      </w:pBdr>
      <w:tabs>
        <w:tab w:val="center" w:pos="4252"/>
        <w:tab w:val="right" w:pos="8504"/>
      </w:tabs>
      <w:spacing w:after="240" w:line="240" w:lineRule="auto"/>
      <w:ind w:left="-2" w:right="-284" w:firstLine="0"/>
      <w:jc w:val="both"/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71" w14:textId="77777777" w:rsidR="00FF31F4" w:rsidRDefault="00FF31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F23510"/>
    <w:lvl w:ilvl="0">
      <w:numFmt w:val="bullet"/>
      <w:lvlText w:val="*"/>
      <w:lvlJc w:val="left"/>
    </w:lvl>
  </w:abstractNum>
  <w:abstractNum w:abstractNumId="1" w15:restartNumberingAfterBreak="0">
    <w:nsid w:val="013A48D8"/>
    <w:multiLevelType w:val="multilevel"/>
    <w:tmpl w:val="A55A01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9F6611E"/>
    <w:multiLevelType w:val="hybridMultilevel"/>
    <w:tmpl w:val="213C628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FAF"/>
    <w:multiLevelType w:val="multilevel"/>
    <w:tmpl w:val="B2E0C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B450BD2"/>
    <w:multiLevelType w:val="multilevel"/>
    <w:tmpl w:val="520281B2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–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–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0E2B48DF"/>
    <w:multiLevelType w:val="multilevel"/>
    <w:tmpl w:val="98A8FA7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0124722"/>
    <w:multiLevelType w:val="multilevel"/>
    <w:tmpl w:val="429E13C0"/>
    <w:lvl w:ilvl="0">
      <w:start w:val="1"/>
      <w:numFmt w:val="upperRoman"/>
      <w:lvlText w:val="%1."/>
      <w:lvlJc w:val="left"/>
      <w:pPr>
        <w:ind w:left="1050" w:hanging="624"/>
      </w:pPr>
      <w:rPr>
        <w:color w:val="00B050"/>
        <w:vertAlign w:val="baseline"/>
      </w:rPr>
    </w:lvl>
    <w:lvl w:ilvl="1">
      <w:start w:val="1"/>
      <w:numFmt w:val="upperLetter"/>
      <w:lvlText w:val="%2."/>
      <w:lvlJc w:val="left"/>
      <w:pPr>
        <w:ind w:left="794" w:hanging="624"/>
      </w:pPr>
      <w:rPr>
        <w:vertAlign w:val="baseline"/>
      </w:rPr>
    </w:lvl>
    <w:lvl w:ilvl="2">
      <w:start w:val="1"/>
      <w:numFmt w:val="decimal"/>
      <w:lvlText w:val="%1.%2.%3."/>
      <w:lvlJc w:val="right"/>
      <w:pPr>
        <w:ind w:left="794" w:hanging="6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94" w:hanging="62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94" w:hanging="6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94" w:hanging="6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94" w:hanging="62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4" w:hanging="6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4" w:hanging="624"/>
      </w:pPr>
      <w:rPr>
        <w:vertAlign w:val="baseline"/>
      </w:rPr>
    </w:lvl>
  </w:abstractNum>
  <w:abstractNum w:abstractNumId="7" w15:restartNumberingAfterBreak="0">
    <w:nsid w:val="11EB10B4"/>
    <w:multiLevelType w:val="hybridMultilevel"/>
    <w:tmpl w:val="D624AAE6"/>
    <w:lvl w:ilvl="0" w:tplc="3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19D949D7"/>
    <w:multiLevelType w:val="hybridMultilevel"/>
    <w:tmpl w:val="286C3F80"/>
    <w:lvl w:ilvl="0" w:tplc="380A0011">
      <w:start w:val="1"/>
      <w:numFmt w:val="decimal"/>
      <w:lvlText w:val="%1)"/>
      <w:lvlJc w:val="left"/>
      <w:pPr>
        <w:ind w:left="361" w:hanging="360"/>
      </w:pPr>
    </w:lvl>
    <w:lvl w:ilvl="1" w:tplc="380A0019" w:tentative="1">
      <w:start w:val="1"/>
      <w:numFmt w:val="lowerLetter"/>
      <w:lvlText w:val="%2."/>
      <w:lvlJc w:val="left"/>
      <w:pPr>
        <w:ind w:left="1081" w:hanging="360"/>
      </w:pPr>
    </w:lvl>
    <w:lvl w:ilvl="2" w:tplc="380A001B" w:tentative="1">
      <w:start w:val="1"/>
      <w:numFmt w:val="lowerRoman"/>
      <w:lvlText w:val="%3."/>
      <w:lvlJc w:val="right"/>
      <w:pPr>
        <w:ind w:left="1801" w:hanging="180"/>
      </w:pPr>
    </w:lvl>
    <w:lvl w:ilvl="3" w:tplc="380A000F" w:tentative="1">
      <w:start w:val="1"/>
      <w:numFmt w:val="decimal"/>
      <w:lvlText w:val="%4."/>
      <w:lvlJc w:val="left"/>
      <w:pPr>
        <w:ind w:left="2521" w:hanging="360"/>
      </w:pPr>
    </w:lvl>
    <w:lvl w:ilvl="4" w:tplc="380A0019" w:tentative="1">
      <w:start w:val="1"/>
      <w:numFmt w:val="lowerLetter"/>
      <w:lvlText w:val="%5."/>
      <w:lvlJc w:val="left"/>
      <w:pPr>
        <w:ind w:left="3241" w:hanging="360"/>
      </w:pPr>
    </w:lvl>
    <w:lvl w:ilvl="5" w:tplc="380A001B" w:tentative="1">
      <w:start w:val="1"/>
      <w:numFmt w:val="lowerRoman"/>
      <w:lvlText w:val="%6."/>
      <w:lvlJc w:val="right"/>
      <w:pPr>
        <w:ind w:left="3961" w:hanging="180"/>
      </w:pPr>
    </w:lvl>
    <w:lvl w:ilvl="6" w:tplc="380A000F" w:tentative="1">
      <w:start w:val="1"/>
      <w:numFmt w:val="decimal"/>
      <w:lvlText w:val="%7."/>
      <w:lvlJc w:val="left"/>
      <w:pPr>
        <w:ind w:left="4681" w:hanging="360"/>
      </w:pPr>
    </w:lvl>
    <w:lvl w:ilvl="7" w:tplc="380A0019" w:tentative="1">
      <w:start w:val="1"/>
      <w:numFmt w:val="lowerLetter"/>
      <w:lvlText w:val="%8."/>
      <w:lvlJc w:val="left"/>
      <w:pPr>
        <w:ind w:left="5401" w:hanging="360"/>
      </w:pPr>
    </w:lvl>
    <w:lvl w:ilvl="8" w:tplc="3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237D3832"/>
    <w:multiLevelType w:val="hybridMultilevel"/>
    <w:tmpl w:val="4A60ABBE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62B78"/>
    <w:multiLevelType w:val="hybridMultilevel"/>
    <w:tmpl w:val="CB8C3A20"/>
    <w:lvl w:ilvl="0" w:tplc="0C0A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2FA5BCA"/>
    <w:multiLevelType w:val="multilevel"/>
    <w:tmpl w:val="484272B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vertAlign w:val="baseline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–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–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3A982338"/>
    <w:multiLevelType w:val="hybridMultilevel"/>
    <w:tmpl w:val="A6406E6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Times New Roman" w:hint="default"/>
      </w:rPr>
    </w:lvl>
    <w:lvl w:ilvl="2" w:tplc="380A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Times New Roman" w:hint="default"/>
      </w:rPr>
    </w:lvl>
    <w:lvl w:ilvl="5" w:tplc="380A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Times New Roman" w:hint="default"/>
      </w:rPr>
    </w:lvl>
    <w:lvl w:ilvl="8" w:tplc="380A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44471622"/>
    <w:multiLevelType w:val="multilevel"/>
    <w:tmpl w:val="9BB4E3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7973009"/>
    <w:multiLevelType w:val="multilevel"/>
    <w:tmpl w:val="313C147C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A1E2719"/>
    <w:multiLevelType w:val="multilevel"/>
    <w:tmpl w:val="611AC0DE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hanging="180"/>
      </w:pPr>
      <w:rPr>
        <w:vertAlign w:val="baseline"/>
      </w:rPr>
    </w:lvl>
  </w:abstractNum>
  <w:abstractNum w:abstractNumId="16" w15:restartNumberingAfterBreak="0">
    <w:nsid w:val="4A88764F"/>
    <w:multiLevelType w:val="multilevel"/>
    <w:tmpl w:val="069ABB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900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99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7F923D1"/>
    <w:multiLevelType w:val="multilevel"/>
    <w:tmpl w:val="64404E1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–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–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A442E0B"/>
    <w:multiLevelType w:val="multilevel"/>
    <w:tmpl w:val="3B9E6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AFC373D"/>
    <w:multiLevelType w:val="hybridMultilevel"/>
    <w:tmpl w:val="A644272A"/>
    <w:lvl w:ilvl="0" w:tplc="3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64DD3709"/>
    <w:multiLevelType w:val="multilevel"/>
    <w:tmpl w:val="31AE4F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pStyle w:val="Ttulo3"/>
      <w:lvlText w:val="%3."/>
      <w:lvlJc w:val="left"/>
      <w:pPr>
        <w:ind w:left="2160" w:hanging="180"/>
      </w:pPr>
      <w:rPr>
        <w:vertAlign w:val="baseline"/>
      </w:rPr>
    </w:lvl>
    <w:lvl w:ilvl="3">
      <w:start w:val="2"/>
      <w:numFmt w:val="bullet"/>
      <w:pStyle w:val="Ttulo4"/>
      <w:lvlText w:val="-"/>
      <w:lvlJc w:val="left"/>
      <w:pPr>
        <w:ind w:left="2880" w:hanging="360"/>
      </w:pPr>
      <w:rPr>
        <w:rFonts w:ascii="Calibri" w:eastAsia="Calibri" w:hAnsi="Calibri" w:cs="Calibri"/>
        <w:color w:val="000000"/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Ttulo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9E95AEA"/>
    <w:multiLevelType w:val="hybridMultilevel"/>
    <w:tmpl w:val="1B722694"/>
    <w:lvl w:ilvl="0" w:tplc="3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6AA501BE"/>
    <w:multiLevelType w:val="hybridMultilevel"/>
    <w:tmpl w:val="E44262E2"/>
    <w:lvl w:ilvl="0" w:tplc="380A000F">
      <w:start w:val="1"/>
      <w:numFmt w:val="decimal"/>
      <w:lvlText w:val="%1."/>
      <w:lvlJc w:val="left"/>
      <w:pPr>
        <w:ind w:left="718" w:hanging="360"/>
      </w:pPr>
    </w:lvl>
    <w:lvl w:ilvl="1" w:tplc="380A0019" w:tentative="1">
      <w:start w:val="1"/>
      <w:numFmt w:val="lowerLetter"/>
      <w:lvlText w:val="%2."/>
      <w:lvlJc w:val="left"/>
      <w:pPr>
        <w:ind w:left="1438" w:hanging="360"/>
      </w:pPr>
    </w:lvl>
    <w:lvl w:ilvl="2" w:tplc="380A001B" w:tentative="1">
      <w:start w:val="1"/>
      <w:numFmt w:val="lowerRoman"/>
      <w:lvlText w:val="%3."/>
      <w:lvlJc w:val="right"/>
      <w:pPr>
        <w:ind w:left="2158" w:hanging="180"/>
      </w:pPr>
    </w:lvl>
    <w:lvl w:ilvl="3" w:tplc="380A000F" w:tentative="1">
      <w:start w:val="1"/>
      <w:numFmt w:val="decimal"/>
      <w:lvlText w:val="%4."/>
      <w:lvlJc w:val="left"/>
      <w:pPr>
        <w:ind w:left="2878" w:hanging="360"/>
      </w:pPr>
    </w:lvl>
    <w:lvl w:ilvl="4" w:tplc="380A0019" w:tentative="1">
      <w:start w:val="1"/>
      <w:numFmt w:val="lowerLetter"/>
      <w:lvlText w:val="%5."/>
      <w:lvlJc w:val="left"/>
      <w:pPr>
        <w:ind w:left="3598" w:hanging="360"/>
      </w:pPr>
    </w:lvl>
    <w:lvl w:ilvl="5" w:tplc="380A001B" w:tentative="1">
      <w:start w:val="1"/>
      <w:numFmt w:val="lowerRoman"/>
      <w:lvlText w:val="%6."/>
      <w:lvlJc w:val="right"/>
      <w:pPr>
        <w:ind w:left="4318" w:hanging="180"/>
      </w:pPr>
    </w:lvl>
    <w:lvl w:ilvl="6" w:tplc="380A000F" w:tentative="1">
      <w:start w:val="1"/>
      <w:numFmt w:val="decimal"/>
      <w:lvlText w:val="%7."/>
      <w:lvlJc w:val="left"/>
      <w:pPr>
        <w:ind w:left="5038" w:hanging="360"/>
      </w:pPr>
    </w:lvl>
    <w:lvl w:ilvl="7" w:tplc="380A0019" w:tentative="1">
      <w:start w:val="1"/>
      <w:numFmt w:val="lowerLetter"/>
      <w:lvlText w:val="%8."/>
      <w:lvlJc w:val="left"/>
      <w:pPr>
        <w:ind w:left="5758" w:hanging="360"/>
      </w:pPr>
    </w:lvl>
    <w:lvl w:ilvl="8" w:tplc="3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6D082420"/>
    <w:multiLevelType w:val="multilevel"/>
    <w:tmpl w:val="1666B7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FFE3E6E"/>
    <w:multiLevelType w:val="hybridMultilevel"/>
    <w:tmpl w:val="498AB386"/>
    <w:lvl w:ilvl="0" w:tplc="636A5CAA"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77E3125C"/>
    <w:multiLevelType w:val="hybridMultilevel"/>
    <w:tmpl w:val="1EB8E30A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6" w15:restartNumberingAfterBreak="0">
    <w:nsid w:val="7F7A31C1"/>
    <w:multiLevelType w:val="multilevel"/>
    <w:tmpl w:val="034E09E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11"/>
  </w:num>
  <w:num w:numId="10">
    <w:abstractNumId w:val="4"/>
  </w:num>
  <w:num w:numId="11">
    <w:abstractNumId w:val="26"/>
  </w:num>
  <w:num w:numId="12">
    <w:abstractNumId w:val="16"/>
  </w:num>
  <w:num w:numId="13">
    <w:abstractNumId w:val="1"/>
  </w:num>
  <w:num w:numId="14">
    <w:abstractNumId w:val="15"/>
  </w:num>
  <w:num w:numId="15">
    <w:abstractNumId w:val="17"/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7">
    <w:abstractNumId w:val="2"/>
  </w:num>
  <w:num w:numId="18">
    <w:abstractNumId w:val="24"/>
  </w:num>
  <w:num w:numId="19">
    <w:abstractNumId w:val="25"/>
  </w:num>
  <w:num w:numId="20">
    <w:abstractNumId w:val="8"/>
  </w:num>
  <w:num w:numId="21">
    <w:abstractNumId w:val="12"/>
  </w:num>
  <w:num w:numId="22">
    <w:abstractNumId w:val="9"/>
  </w:num>
  <w:num w:numId="23">
    <w:abstractNumId w:val="10"/>
  </w:num>
  <w:num w:numId="24">
    <w:abstractNumId w:val="7"/>
  </w:num>
  <w:num w:numId="25">
    <w:abstractNumId w:val="22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AC"/>
    <w:rsid w:val="00002CCA"/>
    <w:rsid w:val="00012087"/>
    <w:rsid w:val="0001591B"/>
    <w:rsid w:val="00016F09"/>
    <w:rsid w:val="0002498F"/>
    <w:rsid w:val="0002729D"/>
    <w:rsid w:val="00034DB2"/>
    <w:rsid w:val="00035212"/>
    <w:rsid w:val="00035507"/>
    <w:rsid w:val="0003760C"/>
    <w:rsid w:val="00050135"/>
    <w:rsid w:val="000659F9"/>
    <w:rsid w:val="000661BB"/>
    <w:rsid w:val="00066A26"/>
    <w:rsid w:val="00067329"/>
    <w:rsid w:val="00087BE7"/>
    <w:rsid w:val="00093AEA"/>
    <w:rsid w:val="000A06DD"/>
    <w:rsid w:val="000A5C82"/>
    <w:rsid w:val="000B074A"/>
    <w:rsid w:val="000B1262"/>
    <w:rsid w:val="000B1630"/>
    <w:rsid w:val="000B21A1"/>
    <w:rsid w:val="000C4443"/>
    <w:rsid w:val="000D0DF4"/>
    <w:rsid w:val="000D4659"/>
    <w:rsid w:val="000D78E2"/>
    <w:rsid w:val="000E359C"/>
    <w:rsid w:val="000F5846"/>
    <w:rsid w:val="00104102"/>
    <w:rsid w:val="00113094"/>
    <w:rsid w:val="00114153"/>
    <w:rsid w:val="0012107D"/>
    <w:rsid w:val="00122013"/>
    <w:rsid w:val="001454D7"/>
    <w:rsid w:val="00154AE5"/>
    <w:rsid w:val="0016470F"/>
    <w:rsid w:val="00165B54"/>
    <w:rsid w:val="001702A2"/>
    <w:rsid w:val="00181856"/>
    <w:rsid w:val="001D3E83"/>
    <w:rsid w:val="001D4D9A"/>
    <w:rsid w:val="001D65C7"/>
    <w:rsid w:val="00200629"/>
    <w:rsid w:val="00202F4B"/>
    <w:rsid w:val="002053B5"/>
    <w:rsid w:val="00205906"/>
    <w:rsid w:val="002344A3"/>
    <w:rsid w:val="0025021F"/>
    <w:rsid w:val="00262531"/>
    <w:rsid w:val="0027480C"/>
    <w:rsid w:val="002A6867"/>
    <w:rsid w:val="002C3B21"/>
    <w:rsid w:val="002C43BC"/>
    <w:rsid w:val="002C6870"/>
    <w:rsid w:val="002D1227"/>
    <w:rsid w:val="002D7204"/>
    <w:rsid w:val="002E1DC9"/>
    <w:rsid w:val="002E5B9E"/>
    <w:rsid w:val="002E717D"/>
    <w:rsid w:val="002E7F4B"/>
    <w:rsid w:val="002F20A7"/>
    <w:rsid w:val="003100D4"/>
    <w:rsid w:val="00312974"/>
    <w:rsid w:val="0031515C"/>
    <w:rsid w:val="003250F2"/>
    <w:rsid w:val="00337171"/>
    <w:rsid w:val="0034189D"/>
    <w:rsid w:val="00355520"/>
    <w:rsid w:val="0036179D"/>
    <w:rsid w:val="00363F29"/>
    <w:rsid w:val="00365C0C"/>
    <w:rsid w:val="00383A38"/>
    <w:rsid w:val="00390B23"/>
    <w:rsid w:val="00397D25"/>
    <w:rsid w:val="003B2DF2"/>
    <w:rsid w:val="003C2E64"/>
    <w:rsid w:val="003E42E4"/>
    <w:rsid w:val="003E7293"/>
    <w:rsid w:val="00402889"/>
    <w:rsid w:val="00417126"/>
    <w:rsid w:val="00422ED3"/>
    <w:rsid w:val="00430CBA"/>
    <w:rsid w:val="00431621"/>
    <w:rsid w:val="00450332"/>
    <w:rsid w:val="0047485B"/>
    <w:rsid w:val="00480741"/>
    <w:rsid w:val="00485C08"/>
    <w:rsid w:val="00494731"/>
    <w:rsid w:val="004A0397"/>
    <w:rsid w:val="004A38CC"/>
    <w:rsid w:val="004A7FB4"/>
    <w:rsid w:val="004B163B"/>
    <w:rsid w:val="004B59BE"/>
    <w:rsid w:val="004B5EF3"/>
    <w:rsid w:val="004B7D2E"/>
    <w:rsid w:val="004C139E"/>
    <w:rsid w:val="004C4E1C"/>
    <w:rsid w:val="004C63BF"/>
    <w:rsid w:val="004D1997"/>
    <w:rsid w:val="004D5533"/>
    <w:rsid w:val="00501FF4"/>
    <w:rsid w:val="00511EBD"/>
    <w:rsid w:val="00517DAC"/>
    <w:rsid w:val="005314FE"/>
    <w:rsid w:val="0054798F"/>
    <w:rsid w:val="00556722"/>
    <w:rsid w:val="00561FA9"/>
    <w:rsid w:val="0056724A"/>
    <w:rsid w:val="0056790E"/>
    <w:rsid w:val="005717BC"/>
    <w:rsid w:val="0057199F"/>
    <w:rsid w:val="005764B7"/>
    <w:rsid w:val="005901B0"/>
    <w:rsid w:val="00591129"/>
    <w:rsid w:val="00595EE3"/>
    <w:rsid w:val="00597EF0"/>
    <w:rsid w:val="005A4C66"/>
    <w:rsid w:val="005B14F1"/>
    <w:rsid w:val="005D2D39"/>
    <w:rsid w:val="005E1C41"/>
    <w:rsid w:val="00603049"/>
    <w:rsid w:val="00616310"/>
    <w:rsid w:val="00621A55"/>
    <w:rsid w:val="00634B84"/>
    <w:rsid w:val="00644332"/>
    <w:rsid w:val="006601D5"/>
    <w:rsid w:val="006641E9"/>
    <w:rsid w:val="006648B1"/>
    <w:rsid w:val="00664CE4"/>
    <w:rsid w:val="00680DF3"/>
    <w:rsid w:val="006835A8"/>
    <w:rsid w:val="006A7CE7"/>
    <w:rsid w:val="006B6C46"/>
    <w:rsid w:val="006D7028"/>
    <w:rsid w:val="006D7C30"/>
    <w:rsid w:val="006E6A86"/>
    <w:rsid w:val="006F4160"/>
    <w:rsid w:val="00715671"/>
    <w:rsid w:val="00716E03"/>
    <w:rsid w:val="007260F6"/>
    <w:rsid w:val="00741467"/>
    <w:rsid w:val="00745A8D"/>
    <w:rsid w:val="00747B6C"/>
    <w:rsid w:val="00750B06"/>
    <w:rsid w:val="00752B3F"/>
    <w:rsid w:val="00757629"/>
    <w:rsid w:val="0076310A"/>
    <w:rsid w:val="007665DA"/>
    <w:rsid w:val="00784731"/>
    <w:rsid w:val="00784C4C"/>
    <w:rsid w:val="007901A7"/>
    <w:rsid w:val="007A2B14"/>
    <w:rsid w:val="007B6912"/>
    <w:rsid w:val="007B7941"/>
    <w:rsid w:val="007B7B19"/>
    <w:rsid w:val="007B7CD2"/>
    <w:rsid w:val="007C76CC"/>
    <w:rsid w:val="007E3E2C"/>
    <w:rsid w:val="007F05C7"/>
    <w:rsid w:val="007F1363"/>
    <w:rsid w:val="007F6078"/>
    <w:rsid w:val="00800A03"/>
    <w:rsid w:val="00804BA6"/>
    <w:rsid w:val="00806C65"/>
    <w:rsid w:val="00807FE1"/>
    <w:rsid w:val="0081514E"/>
    <w:rsid w:val="008301CD"/>
    <w:rsid w:val="008334DE"/>
    <w:rsid w:val="00844D0F"/>
    <w:rsid w:val="00851B30"/>
    <w:rsid w:val="008555B5"/>
    <w:rsid w:val="008568CB"/>
    <w:rsid w:val="00862EE6"/>
    <w:rsid w:val="00870362"/>
    <w:rsid w:val="008873D3"/>
    <w:rsid w:val="00894295"/>
    <w:rsid w:val="008B5448"/>
    <w:rsid w:val="008D164A"/>
    <w:rsid w:val="008E0E47"/>
    <w:rsid w:val="008E4340"/>
    <w:rsid w:val="008F7E3F"/>
    <w:rsid w:val="009115C7"/>
    <w:rsid w:val="00924990"/>
    <w:rsid w:val="00936891"/>
    <w:rsid w:val="00945E66"/>
    <w:rsid w:val="0095130F"/>
    <w:rsid w:val="009621AC"/>
    <w:rsid w:val="009659AC"/>
    <w:rsid w:val="0097352E"/>
    <w:rsid w:val="00981070"/>
    <w:rsid w:val="009847B4"/>
    <w:rsid w:val="009B00CC"/>
    <w:rsid w:val="009B0229"/>
    <w:rsid w:val="009B5773"/>
    <w:rsid w:val="009C33AD"/>
    <w:rsid w:val="009D057C"/>
    <w:rsid w:val="009D0907"/>
    <w:rsid w:val="009D6BD8"/>
    <w:rsid w:val="009D7E1E"/>
    <w:rsid w:val="009E1FC8"/>
    <w:rsid w:val="009F0294"/>
    <w:rsid w:val="009F7F6B"/>
    <w:rsid w:val="00A01374"/>
    <w:rsid w:val="00A07F1E"/>
    <w:rsid w:val="00A13903"/>
    <w:rsid w:val="00A2209C"/>
    <w:rsid w:val="00A314B5"/>
    <w:rsid w:val="00A45D1E"/>
    <w:rsid w:val="00A73FA8"/>
    <w:rsid w:val="00A80500"/>
    <w:rsid w:val="00A95914"/>
    <w:rsid w:val="00AA2AF9"/>
    <w:rsid w:val="00AA7441"/>
    <w:rsid w:val="00AB1F40"/>
    <w:rsid w:val="00AB5FE8"/>
    <w:rsid w:val="00AC1B0D"/>
    <w:rsid w:val="00AC25F7"/>
    <w:rsid w:val="00AE64C1"/>
    <w:rsid w:val="00AF1E9D"/>
    <w:rsid w:val="00B1158F"/>
    <w:rsid w:val="00B35CD7"/>
    <w:rsid w:val="00B42D7D"/>
    <w:rsid w:val="00B4356A"/>
    <w:rsid w:val="00B44439"/>
    <w:rsid w:val="00B46130"/>
    <w:rsid w:val="00B47DAA"/>
    <w:rsid w:val="00B51FC5"/>
    <w:rsid w:val="00B55878"/>
    <w:rsid w:val="00B8144C"/>
    <w:rsid w:val="00B90679"/>
    <w:rsid w:val="00B93E0D"/>
    <w:rsid w:val="00BA74CD"/>
    <w:rsid w:val="00BA7804"/>
    <w:rsid w:val="00BB255E"/>
    <w:rsid w:val="00BB3DD9"/>
    <w:rsid w:val="00BB7BC4"/>
    <w:rsid w:val="00BC4344"/>
    <w:rsid w:val="00BC66AE"/>
    <w:rsid w:val="00BD3144"/>
    <w:rsid w:val="00BE0BED"/>
    <w:rsid w:val="00BF48F3"/>
    <w:rsid w:val="00BF6802"/>
    <w:rsid w:val="00C06AE8"/>
    <w:rsid w:val="00C07CF4"/>
    <w:rsid w:val="00C34B87"/>
    <w:rsid w:val="00C4197C"/>
    <w:rsid w:val="00C42035"/>
    <w:rsid w:val="00C4208A"/>
    <w:rsid w:val="00C43468"/>
    <w:rsid w:val="00C61F1C"/>
    <w:rsid w:val="00C645CE"/>
    <w:rsid w:val="00C77631"/>
    <w:rsid w:val="00C80036"/>
    <w:rsid w:val="00C80354"/>
    <w:rsid w:val="00C831E9"/>
    <w:rsid w:val="00C834ED"/>
    <w:rsid w:val="00C95135"/>
    <w:rsid w:val="00C978BB"/>
    <w:rsid w:val="00CD2984"/>
    <w:rsid w:val="00CD3D44"/>
    <w:rsid w:val="00CE7C34"/>
    <w:rsid w:val="00CF078D"/>
    <w:rsid w:val="00D10E5D"/>
    <w:rsid w:val="00D4151C"/>
    <w:rsid w:val="00D43FE5"/>
    <w:rsid w:val="00D51C79"/>
    <w:rsid w:val="00D71302"/>
    <w:rsid w:val="00D74A21"/>
    <w:rsid w:val="00D80478"/>
    <w:rsid w:val="00D81670"/>
    <w:rsid w:val="00D83217"/>
    <w:rsid w:val="00D852E8"/>
    <w:rsid w:val="00D86185"/>
    <w:rsid w:val="00DA1851"/>
    <w:rsid w:val="00DA401A"/>
    <w:rsid w:val="00DA475B"/>
    <w:rsid w:val="00DB07C5"/>
    <w:rsid w:val="00DB575E"/>
    <w:rsid w:val="00DC2AC3"/>
    <w:rsid w:val="00DC55E3"/>
    <w:rsid w:val="00DD02C1"/>
    <w:rsid w:val="00DD1C9D"/>
    <w:rsid w:val="00DE3533"/>
    <w:rsid w:val="00DE4B84"/>
    <w:rsid w:val="00DF3AEA"/>
    <w:rsid w:val="00E03441"/>
    <w:rsid w:val="00E23D06"/>
    <w:rsid w:val="00E478FD"/>
    <w:rsid w:val="00E5174D"/>
    <w:rsid w:val="00E615B0"/>
    <w:rsid w:val="00E86123"/>
    <w:rsid w:val="00EA1ECE"/>
    <w:rsid w:val="00EB48F9"/>
    <w:rsid w:val="00EB7514"/>
    <w:rsid w:val="00ED5169"/>
    <w:rsid w:val="00EE74ED"/>
    <w:rsid w:val="00EF057A"/>
    <w:rsid w:val="00F0479F"/>
    <w:rsid w:val="00F072E5"/>
    <w:rsid w:val="00F152C1"/>
    <w:rsid w:val="00F2296E"/>
    <w:rsid w:val="00F260B8"/>
    <w:rsid w:val="00F2715D"/>
    <w:rsid w:val="00F57193"/>
    <w:rsid w:val="00F60F0B"/>
    <w:rsid w:val="00F70A22"/>
    <w:rsid w:val="00F91DA6"/>
    <w:rsid w:val="00FA0EE3"/>
    <w:rsid w:val="00FB5234"/>
    <w:rsid w:val="00FB733B"/>
    <w:rsid w:val="00FC6CEF"/>
    <w:rsid w:val="00FC73E2"/>
    <w:rsid w:val="00FD63BB"/>
    <w:rsid w:val="00FD7774"/>
    <w:rsid w:val="00FE390A"/>
    <w:rsid w:val="00FE4EBE"/>
    <w:rsid w:val="00FF31F4"/>
    <w:rsid w:val="00FF3207"/>
    <w:rsid w:val="00FF4F49"/>
    <w:rsid w:val="00FF6350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9C2BB9"/>
  <w15:docId w15:val="{142676DB-56C1-4E0C-9DDC-649D8987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UY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120" w:after="240"/>
      <w:jc w:val="both"/>
    </w:pPr>
    <w:rPr>
      <w:rFonts w:eastAsia="Times New Roman" w:cs="Times New Roman"/>
      <w:b/>
      <w:bCs/>
      <w:color w:val="00B050"/>
      <w:sz w:val="28"/>
      <w:szCs w:val="28"/>
      <w:lang w:val="es-ES"/>
    </w:rPr>
  </w:style>
  <w:style w:type="paragraph" w:styleId="Ttulo2">
    <w:name w:val="heading 2"/>
    <w:basedOn w:val="Estilo3"/>
    <w:next w:val="Normal"/>
    <w:uiPriority w:val="9"/>
    <w:semiHidden/>
    <w:unhideWhenUsed/>
    <w:qFormat/>
    <w:pPr>
      <w:spacing w:before="240" w:after="120"/>
      <w:ind w:left="170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numPr>
        <w:ilvl w:val="2"/>
        <w:numId w:val="8"/>
      </w:numPr>
      <w:spacing w:before="200" w:after="0" w:line="271" w:lineRule="auto"/>
      <w:ind w:left="-1" w:hanging="1"/>
      <w:outlineLvl w:val="2"/>
    </w:pPr>
    <w:rPr>
      <w:rFonts w:eastAsia="Times New Roman" w:cs="Times New Roman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numPr>
        <w:ilvl w:val="3"/>
        <w:numId w:val="8"/>
      </w:numPr>
      <w:spacing w:before="200" w:after="0"/>
      <w:ind w:left="-1" w:hanging="1"/>
      <w:outlineLvl w:val="3"/>
    </w:pPr>
    <w:rPr>
      <w:rFonts w:eastAsia="Times New Roman" w:cs="Times New Roman"/>
      <w:b/>
      <w:bCs/>
      <w:i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8"/>
      </w:numPr>
      <w:spacing w:before="200" w:after="0"/>
      <w:ind w:left="-1" w:hanging="1"/>
      <w:outlineLvl w:val="4"/>
    </w:pPr>
    <w:rPr>
      <w:rFonts w:eastAsia="Times New Roman" w:cs="Times New Roman"/>
      <w:b/>
      <w:bCs/>
      <w:color w:val="7F7F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8"/>
      </w:numPr>
      <w:spacing w:after="0" w:line="271" w:lineRule="auto"/>
      <w:ind w:left="-1" w:hanging="1"/>
      <w:outlineLvl w:val="5"/>
    </w:pPr>
    <w:rPr>
      <w:rFonts w:eastAsia="Times New Roman" w:cs="Times New Roman"/>
      <w:b/>
      <w:bCs/>
      <w:i/>
      <w:iCs/>
      <w:color w:val="7F7F7F"/>
    </w:rPr>
  </w:style>
  <w:style w:type="paragraph" w:styleId="Ttulo7">
    <w:name w:val="heading 7"/>
    <w:basedOn w:val="Normal"/>
    <w:next w:val="Normal"/>
    <w:qFormat/>
    <w:pPr>
      <w:numPr>
        <w:ilvl w:val="6"/>
        <w:numId w:val="8"/>
      </w:numPr>
      <w:spacing w:after="0"/>
      <w:ind w:left="-1" w:hanging="1"/>
      <w:outlineLvl w:val="6"/>
    </w:pPr>
    <w:rPr>
      <w:rFonts w:eastAsia="Times New Roman" w:cs="Times New Roman"/>
      <w:i/>
      <w:iCs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after="0"/>
      <w:ind w:left="-1" w:hanging="1"/>
      <w:outlineLvl w:val="7"/>
    </w:pPr>
    <w:rPr>
      <w:rFonts w:eastAsia="Times New Roman" w:cs="Times New Roman"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8"/>
      </w:numPr>
      <w:spacing w:after="0"/>
      <w:ind w:left="-1" w:hanging="1"/>
      <w:outlineLvl w:val="8"/>
    </w:pPr>
    <w:rPr>
      <w:rFonts w:eastAsia="Times New Roman" w:cs="Times New Roman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framePr w:wrap="notBeside" w:vAnchor="text" w:hAnchor="page" w:y="1"/>
      <w:spacing w:line="240" w:lineRule="auto"/>
      <w:contextualSpacing/>
    </w:pPr>
    <w:rPr>
      <w:rFonts w:eastAsia="Times New Roman" w:cs="Times New Roman"/>
      <w:b/>
      <w:color w:val="00B050"/>
      <w:spacing w:val="5"/>
      <w:sz w:val="3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next w:val="TableNormal3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basedOn w:val="Normal"/>
    <w:pPr>
      <w:spacing w:after="0" w:line="240" w:lineRule="auto"/>
    </w:pPr>
  </w:style>
  <w:style w:type="paragraph" w:styleId="Textonotaalfinal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final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libri" w:eastAsia="Times New Roman" w:hAnsi="Calibri" w:cs="Times New Roman"/>
      <w:b/>
      <w:bCs/>
      <w:color w:val="00B050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Ttulo2Car">
    <w:name w:val="Título 2 Car"/>
    <w:rPr>
      <w:rFonts w:ascii="Calibri" w:eastAsia="Times New Roman" w:hAnsi="Calibri" w:cs="Times New Roman"/>
      <w:b/>
      <w:bCs/>
      <w:color w:val="00B050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Ttulo3Car">
    <w:name w:val="Título 3 Car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libri" w:eastAsia="Times New Roman" w:hAnsi="Calibri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alibri" w:eastAsia="Times New Roman" w:hAnsi="Calibri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Calibri" w:eastAsia="Times New Roman" w:hAnsi="Calibri" w:cs="Times New Roman"/>
      <w:b/>
      <w:color w:val="00B050"/>
      <w:spacing w:val="5"/>
      <w:w w:val="100"/>
      <w:position w:val="-1"/>
      <w:sz w:val="32"/>
      <w:szCs w:val="5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uiPriority w:val="11"/>
    <w:rPr>
      <w:rFonts w:ascii="Calibri" w:eastAsia="Times New Roman" w:hAnsi="Calibri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styleId="Cita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itadestacada">
    <w:name w:val="Intense Quote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nfasissutil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nfasisintenso">
    <w:name w:val="Intense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erenciasutil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Referenciaintensa">
    <w:name w:val="Intense Reference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dellibro">
    <w:name w:val="Book Title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tulodeTDC">
    <w:name w:val="TOC Heading"/>
    <w:basedOn w:val="Ttulo1"/>
    <w:next w:val="Normal"/>
    <w:qFormat/>
    <w:pPr>
      <w:outlineLvl w:val="9"/>
    </w:pPr>
    <w:rPr>
      <w:lang w:bidi="en-US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link w:val="AsuntodelcomentarioCar4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Textonotapie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Poromisin">
    <w:name w:val="Por omisión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bdr w:val="nil"/>
      <w:lang w:val="es-ES" w:eastAsia="es-ES"/>
    </w:rPr>
  </w:style>
  <w:style w:type="table" w:customStyle="1" w:styleId="Listaclara-nfasis31">
    <w:name w:val="Lista clara - Énfasis 31"/>
    <w:basedOn w:val="Tablanormal"/>
    <w:next w:val="Listaclara-nfasis3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paragraph" w:customStyle="1" w:styleId="Estilo3">
    <w:name w:val="Estilo3"/>
    <w:basedOn w:val="Ttulo1"/>
  </w:style>
  <w:style w:type="character" w:customStyle="1" w:styleId="Estilo3Car">
    <w:name w:val="Estilo3 Car"/>
    <w:rPr>
      <w:rFonts w:ascii="Calibri" w:eastAsia="Times New Roman" w:hAnsi="Calibri" w:cs="Times New Roman"/>
      <w:b/>
      <w:bCs/>
      <w:color w:val="00B050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rrafodelistaCar">
    <w:name w:val="Párrafo de list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default0">
    <w:name w:val="default"/>
    <w:basedOn w:val="Normal"/>
    <w:pPr>
      <w:autoSpaceDE w:val="0"/>
      <w:autoSpaceDN w:val="0"/>
      <w:spacing w:after="0" w:line="240" w:lineRule="auto"/>
    </w:pPr>
    <w:rPr>
      <w:color w:val="000000"/>
      <w:sz w:val="24"/>
      <w:szCs w:val="24"/>
      <w:lang w:eastAsia="es-UY"/>
    </w:rPr>
  </w:style>
  <w:style w:type="paragraph" w:styleId="Textoindependiente">
    <w:name w:val="Body Text"/>
    <w:basedOn w:val="Normal"/>
    <w:qFormat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paragraph" w:styleId="Descripcin">
    <w:name w:val="caption"/>
    <w:basedOn w:val="Normal"/>
    <w:next w:val="Normal"/>
    <w:qFormat/>
    <w:pPr>
      <w:spacing w:line="240" w:lineRule="auto"/>
    </w:pPr>
    <w:rPr>
      <w:i/>
      <w:iCs/>
      <w:color w:val="1F497D"/>
      <w:sz w:val="18"/>
      <w:szCs w:val="18"/>
    </w:rPr>
  </w:style>
  <w:style w:type="paragraph" w:styleId="Listaconvietas">
    <w:name w:val="List Bullet"/>
    <w:basedOn w:val="Normal"/>
    <w:qFormat/>
    <w:pPr>
      <w:ind w:left="720" w:hanging="720"/>
      <w:contextualSpacing/>
    </w:p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suntodelcomentarioCar1">
    <w:name w:val="Asunto del comentario Car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comentarioCar1">
    <w:name w:val="Texto comentario C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suntodelcomentarioCar2">
    <w:name w:val="Asunto del comentario Car2"/>
    <w:basedOn w:val="TextocomentarioCar2"/>
    <w:uiPriority w:val="99"/>
    <w:semiHidden/>
    <w:rPr>
      <w:b/>
      <w:bCs/>
      <w:sz w:val="20"/>
      <w:szCs w:val="20"/>
    </w:rPr>
  </w:style>
  <w:style w:type="character" w:customStyle="1" w:styleId="TextocomentarioCar2">
    <w:name w:val="Texto comentario Car2"/>
    <w:uiPriority w:val="99"/>
    <w:semiHidden/>
    <w:rPr>
      <w:sz w:val="20"/>
      <w:szCs w:val="20"/>
    </w:rPr>
  </w:style>
  <w:style w:type="character" w:customStyle="1" w:styleId="AsuntodelcomentarioCar3">
    <w:name w:val="Asunto del comentario Car3"/>
    <w:basedOn w:val="TextocomentarioCar3"/>
    <w:uiPriority w:val="99"/>
    <w:semiHidden/>
    <w:rPr>
      <w:b/>
      <w:bCs/>
      <w:sz w:val="20"/>
      <w:szCs w:val="20"/>
    </w:rPr>
  </w:style>
  <w:style w:type="character" w:customStyle="1" w:styleId="TextocomentarioCar3">
    <w:name w:val="Texto comentario Car3"/>
    <w:uiPriority w:val="99"/>
    <w:semiHidden/>
    <w:rPr>
      <w:sz w:val="20"/>
      <w:szCs w:val="20"/>
    </w:rPr>
  </w:style>
  <w:style w:type="character" w:customStyle="1" w:styleId="AsuntodelcomentarioCar4">
    <w:name w:val="Asunto del comentario Car4"/>
    <w:basedOn w:val="TextocomentarioCar4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4">
    <w:name w:val="Texto comentario Car4"/>
    <w:link w:val="Textocomentario"/>
    <w:uiPriority w:val="99"/>
    <w:semiHidden/>
    <w:rPr>
      <w:sz w:val="20"/>
      <w:szCs w:val="20"/>
    </w:r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48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485B"/>
    <w:rPr>
      <w:rFonts w:ascii="Consolas" w:hAnsi="Consolas"/>
      <w:position w:val="-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F7F6B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HAnsi" w:hAnsi="Times New Roman" w:cs="Times New Roman"/>
      <w:position w:val="0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SILVA\AppData\Local\Microsoft\Windows\INetCache\Content.Outlook\HTA4TJM1\wetransf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ocalidadesEficientes@miem.gub.uy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ficienciaenergetica.gub.uy/documents/20182/22856/Decreto86_012_FUDAEE.pdf/af743c26-82f9-457a-9be1-b0a63034c48b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Y3tLt54B6rxa04tEN6+imi23g==">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4CDBA2-297E-4C75-BBED-03DC601E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7181</TotalTime>
  <Pages>13</Pages>
  <Words>3670</Words>
  <Characters>20191</Characters>
  <Application>Microsoft Office Word</Application>
  <DocSecurity>0</DocSecurity>
  <Lines>168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Peña</dc:creator>
  <cp:lastModifiedBy>Jorge Peña</cp:lastModifiedBy>
  <cp:revision>37</cp:revision>
  <cp:lastPrinted>2023-02-28T13:26:00Z</cp:lastPrinted>
  <dcterms:created xsi:type="dcterms:W3CDTF">2022-04-25T17:20:00Z</dcterms:created>
  <dcterms:modified xsi:type="dcterms:W3CDTF">2024-03-05T17:12:00Z</dcterms:modified>
</cp:coreProperties>
</file>