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52B9" w14:textId="56463D9D" w:rsidR="0020080E" w:rsidRPr="00EC314D" w:rsidRDefault="00816A23" w:rsidP="00B82B53">
      <w:pPr>
        <w:pStyle w:val="Ttulo"/>
        <w:spacing w:after="240"/>
        <w:contextualSpacing w:val="0"/>
        <w:jc w:val="center"/>
        <w:rPr>
          <w:color w:val="2E74B5" w:themeColor="accent1" w:themeShade="BF"/>
        </w:rPr>
      </w:pPr>
      <w:bookmarkStart w:id="0" w:name="_Ref475527360"/>
      <w:r w:rsidRPr="00EC314D">
        <w:rPr>
          <w:color w:val="2E74B5" w:themeColor="accent1" w:themeShade="BF"/>
        </w:rPr>
        <w:t>CEE 20</w:t>
      </w:r>
      <w:r w:rsidR="00F171BC" w:rsidRPr="00EC314D">
        <w:rPr>
          <w:color w:val="2E74B5" w:themeColor="accent1" w:themeShade="BF"/>
        </w:rPr>
        <w:t>2</w:t>
      </w:r>
      <w:r w:rsidR="00EC314D" w:rsidRPr="00EC314D">
        <w:rPr>
          <w:color w:val="2E74B5" w:themeColor="accent1" w:themeShade="BF"/>
        </w:rPr>
        <w:t>3</w:t>
      </w:r>
      <w:r w:rsidR="00B82B53" w:rsidRPr="00EC314D">
        <w:rPr>
          <w:color w:val="2E74B5" w:themeColor="accent1" w:themeShade="BF"/>
        </w:rPr>
        <w:t xml:space="preserve"> - </w:t>
      </w:r>
      <w:r w:rsidR="0020080E" w:rsidRPr="00EC314D">
        <w:rPr>
          <w:color w:val="2E74B5" w:themeColor="accent1" w:themeShade="BF"/>
        </w:rPr>
        <w:t>Informe de evaluación anual de cumplimiento de resultados</w:t>
      </w:r>
      <w:bookmarkEnd w:id="0"/>
    </w:p>
    <w:p w14:paraId="111F6D75" w14:textId="77777777" w:rsidR="00D62168" w:rsidRPr="00EC314D" w:rsidRDefault="00816A23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color w:val="2E74B5" w:themeColor="accent1" w:themeShade="BF"/>
          <w:sz w:val="22"/>
          <w:szCs w:val="22"/>
          <w:lang w:val="es-MX"/>
        </w:rPr>
      </w:pPr>
      <w:bookmarkStart w:id="1" w:name="_Anteproyecto"/>
      <w:bookmarkEnd w:id="1"/>
      <w:r w:rsidRPr="00EC314D">
        <w:rPr>
          <w:b/>
          <w:i/>
          <w:color w:val="2E74B5" w:themeColor="accent1" w:themeShade="BF"/>
          <w:sz w:val="22"/>
          <w:szCs w:val="22"/>
          <w:lang w:val="es-MX"/>
        </w:rPr>
        <w:t>Importante:</w:t>
      </w:r>
      <w:r w:rsidRPr="00EC314D">
        <w:rPr>
          <w:color w:val="2E74B5" w:themeColor="accent1" w:themeShade="BF"/>
          <w:sz w:val="22"/>
          <w:szCs w:val="22"/>
          <w:lang w:val="es-MX"/>
        </w:rPr>
        <w:t xml:space="preserve"> </w:t>
      </w:r>
    </w:p>
    <w:p w14:paraId="7DB6EADB" w14:textId="36B21DA1" w:rsidR="00816A23" w:rsidRPr="00EC314D" w:rsidRDefault="00690171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No modifique el formato del presente documento. Todos los puntos son de llenado obligatorio.</w:t>
      </w:r>
    </w:p>
    <w:p w14:paraId="6D5CCD17" w14:textId="3CE2409E" w:rsidR="00D62168" w:rsidRPr="00EC314D" w:rsidRDefault="00D62168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Presente un Informe por Medida de eficiencia energética (MMEE)</w:t>
      </w:r>
      <w:r w:rsidR="006B2808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individual o distribuida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. </w:t>
      </w:r>
    </w:p>
    <w:p w14:paraId="1C34DD2D" w14:textId="1C9681D6" w:rsidR="00816A23" w:rsidRPr="00EC314D" w:rsidRDefault="00816A23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ES"/>
        </w:rPr>
        <w:t>Este cuadro y l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as instrucciones en letra gris cursiva pueden eliminarse una vez completado el informe.</w:t>
      </w:r>
    </w:p>
    <w:p w14:paraId="54FFB82C" w14:textId="6FC77957" w:rsidR="00B179BC" w:rsidRPr="00EC314D" w:rsidRDefault="00B179BC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En aquellos casos que el Plan de M&amp;V </w:t>
      </w:r>
      <w:r w:rsidR="002D5DA4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haya sido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elaborado ex post para presentar a esta convocatoria, 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puede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tomar como referencia para el Reporte de M&amp;V del Plan, el presente formato e incluir como mínimo la demás información indicada en 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la versión 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del IPMVP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que corresponda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.</w:t>
      </w:r>
    </w:p>
    <w:p w14:paraId="3315B787" w14:textId="77777777"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14:paraId="1E59F0CD" w14:textId="77777777" w:rsidTr="00011D61">
        <w:trPr>
          <w:trHeight w:val="40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632E8803" w14:textId="77777777" w:rsidR="00680B03" w:rsidRPr="00EC314D" w:rsidRDefault="00680B03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  <w:vAlign w:val="center"/>
          </w:tcPr>
          <w:p w14:paraId="0B24D05B" w14:textId="77777777"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14:paraId="5CCBB034" w14:textId="77777777" w:rsidTr="00011D61">
        <w:trPr>
          <w:trHeight w:val="41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7B77B5B8" w14:textId="65841B47" w:rsidR="00680B03" w:rsidRPr="00EC314D" w:rsidRDefault="00680B03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Nombre de 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o las 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instalaci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o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n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es</w:t>
            </w:r>
          </w:p>
        </w:tc>
        <w:tc>
          <w:tcPr>
            <w:tcW w:w="4322" w:type="dxa"/>
            <w:vAlign w:val="center"/>
          </w:tcPr>
          <w:p w14:paraId="3A835E76" w14:textId="77777777"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="009E57FD" w:rsidRPr="00680B03" w14:paraId="03CA5132" w14:textId="77777777" w:rsidTr="00011D61">
        <w:trPr>
          <w:trHeight w:val="43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0D33A4D8" w14:textId="77777777" w:rsidR="009E57FD" w:rsidRPr="00EC314D" w:rsidRDefault="009E57FD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  <w:vAlign w:val="center"/>
          </w:tcPr>
          <w:p w14:paraId="11479FCE" w14:textId="77777777"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14:paraId="039996DA" w14:textId="77777777" w:rsidR="00680B03" w:rsidRDefault="00680B03" w:rsidP="00A00EDB">
      <w:pPr>
        <w:spacing w:after="0"/>
        <w:rPr>
          <w:rFonts w:eastAsia="Times New Roman"/>
          <w:lang w:eastAsia="es-UY"/>
        </w:rPr>
      </w:pPr>
    </w:p>
    <w:p w14:paraId="363CD8B3" w14:textId="77777777"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14:paraId="57522B02" w14:textId="77777777" w:rsidR="001454CA" w:rsidRPr="00EC314D" w:rsidRDefault="0020080E" w:rsidP="00EC314D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Ingres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ar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.</w:t>
      </w:r>
    </w:p>
    <w:p w14:paraId="0648DFB8" w14:textId="77777777"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34BB5037" w14:textId="77777777" w:rsidR="0020080E" w:rsidRDefault="0020080E" w:rsidP="001D775A">
      <w:pPr>
        <w:rPr>
          <w:rFonts w:eastAsia="Times New Roman"/>
          <w:lang w:eastAsia="es-UY"/>
        </w:rPr>
      </w:pPr>
    </w:p>
    <w:p w14:paraId="11011491" w14:textId="20C61E26"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s de la MMEE</w:t>
      </w:r>
    </w:p>
    <w:p w14:paraId="717EB632" w14:textId="68420C02" w:rsidR="0020080E" w:rsidRPr="00EC314D" w:rsidRDefault="0020080E" w:rsidP="00EC314D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Expli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car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brevemente el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o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los objetivos de la medida, indicando, si aplica, aspectos no necesariamente vinculados a la energía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,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por ejemplo: reducción del consumo de agua, recambio tecnológico, mejora de productividad, responsabilidad social empresarial, etc.</w:t>
      </w:r>
    </w:p>
    <w:p w14:paraId="25208CDC" w14:textId="77777777"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6CC88E97" w14:textId="77777777"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513194F" w14:textId="77777777"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t xml:space="preserve">Escenario de referencia o línea de base </w:t>
      </w:r>
    </w:p>
    <w:p w14:paraId="28BEDF9D" w14:textId="77777777"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14:paraId="3D9563CD" w14:textId="76923758" w:rsidR="001454CA" w:rsidRPr="00EC314D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escrib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ir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este escenario, incluyendo el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o 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los equipos reemplazados o que serían instalados bajo un escenario "</w:t>
      </w:r>
      <w:proofErr w:type="spellStart"/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business</w:t>
      </w:r>
      <w:proofErr w:type="spellEnd"/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as usual" (BAU), potencia, eficiencia, años de uso, condiciones de uso, etc.</w:t>
      </w:r>
    </w:p>
    <w:p w14:paraId="27227A2E" w14:textId="77777777" w:rsidR="0020080E" w:rsidRPr="00EC314D" w:rsidRDefault="0020080E" w:rsidP="00EC314D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El escenario BAU debe plantearse si, por ejemplo: i) un equipo llegó al final de su vida útil; </w:t>
      </w:r>
      <w:proofErr w:type="spellStart"/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ii</w:t>
      </w:r>
      <w:proofErr w:type="spellEnd"/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) una expansión de la producción o mejora del confort; </w:t>
      </w:r>
      <w:proofErr w:type="spellStart"/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iii</w:t>
      </w:r>
      <w:proofErr w:type="spellEnd"/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) un proyecto nuevo, etc. En los dos primeros casos, no es aceptable asumir que se comprarían equipos nuevos de las mismas características de los ya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lastRenderedPageBreak/>
        <w:t xml:space="preserve">operativos a no ser que se justifique fehacientemente que equipos nuevos de iguales características están disponibles en el mercado. </w:t>
      </w:r>
    </w:p>
    <w:p w14:paraId="70B5EDDB" w14:textId="77777777"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E72DEC7" w14:textId="77777777"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7D92147" w14:textId="0B74AFF0"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 </w:t>
      </w:r>
      <w:r w:rsidR="00E335B3">
        <w:rPr>
          <w:rFonts w:eastAsia="Times New Roman"/>
          <w:lang w:eastAsia="es-UY"/>
        </w:rPr>
        <w:t>línea de base</w:t>
      </w:r>
    </w:p>
    <w:p w14:paraId="0FDE8859" w14:textId="2A4387F7" w:rsidR="0020080E" w:rsidRPr="00EC314D" w:rsidRDefault="00113C7C" w:rsidP="00EC314D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ndicar el período utilizado y justificar por qué representa un ciclo normal, desestacionalizado, de funcionamiento de la instalación.</w:t>
      </w:r>
    </w:p>
    <w:p w14:paraId="672172DB" w14:textId="77777777"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9402210" w14:textId="77777777" w:rsidR="0095156C" w:rsidRDefault="0095156C" w:rsidP="001D775A">
      <w:pPr>
        <w:rPr>
          <w:rFonts w:eastAsia="Times New Roman"/>
          <w:lang w:eastAsia="es-UY"/>
        </w:rPr>
      </w:pPr>
    </w:p>
    <w:p w14:paraId="7C6785DE" w14:textId="77777777"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14:paraId="2A878F7C" w14:textId="168E4216" w:rsidR="0020080E" w:rsidRPr="001E0C41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escribir cómo fue determinado el consumo de energía en </w:t>
      </w:r>
      <w:r w:rsidR="00552BDB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la línea de base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. </w:t>
      </w:r>
    </w:p>
    <w:p w14:paraId="2D984903" w14:textId="77777777" w:rsidR="0020080E" w:rsidRPr="001E0C41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4635BE13" w14:textId="77777777" w:rsidR="00E94BA0" w:rsidRPr="001E0C41" w:rsidRDefault="0020080E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16C9AB68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51C179B7" w14:textId="77777777" w:rsidR="00604B26" w:rsidRDefault="00604B26" w:rsidP="001D775A">
      <w:pPr>
        <w:rPr>
          <w:rFonts w:eastAsia="Times New Roman"/>
          <w:lang w:eastAsia="es-UY"/>
        </w:rPr>
      </w:pPr>
    </w:p>
    <w:p w14:paraId="06673F85" w14:textId="77777777"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14:paraId="41FC8338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14:paraId="0F42D423" w14:textId="77777777" w:rsidR="0020080E" w:rsidRPr="001E0C41" w:rsidRDefault="00E94BA0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14:paraId="11D0FF8F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19E8D74F" w14:textId="77777777" w:rsidR="00604B26" w:rsidRPr="00E94BA0" w:rsidRDefault="00604B26" w:rsidP="00E94BA0">
      <w:pPr>
        <w:rPr>
          <w:rFonts w:eastAsia="Times New Roman"/>
          <w:lang w:eastAsia="es-UY"/>
        </w:rPr>
      </w:pPr>
    </w:p>
    <w:p w14:paraId="1498BAAF" w14:textId="4D19E0E6"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</w:t>
      </w:r>
      <w:r w:rsidR="00E335B3">
        <w:rPr>
          <w:rFonts w:eastAsia="Times New Roman"/>
          <w:lang w:eastAsia="es-UY"/>
        </w:rPr>
        <w:t>de reporte</w:t>
      </w:r>
    </w:p>
    <w:p w14:paraId="661B1BD5" w14:textId="46B3E26F" w:rsidR="00552BDB" w:rsidRPr="001E0C41" w:rsidRDefault="00552B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Indicar el período utilizado y justificar por qué representa un ciclo normal, desestacionalizado, de funcionamiento de la instalación.</w:t>
      </w:r>
    </w:p>
    <w:p w14:paraId="7E029449" w14:textId="3F5BD4AE" w:rsidR="00484EDB" w:rsidRPr="001E0C41" w:rsidRDefault="00484E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La finalización del período reporte (con o sin adopción del IPMVP) no debe tener más de 180 días al momento de la postulación,</w:t>
      </w:r>
      <w:bookmarkStart w:id="2" w:name="_Hlk98327216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salvo se presente la debida justificación técnica de que datos de períodos más antiguos continúan siendo válidos y representativos para su extrapolación a la vida útil de la medida. </w:t>
      </w:r>
      <w:bookmarkEnd w:id="2"/>
    </w:p>
    <w:p w14:paraId="72242CD3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70D887AC" w14:textId="77777777" w:rsidR="00604B26" w:rsidRPr="00B83EB5" w:rsidRDefault="00604B26" w:rsidP="00E94BA0">
      <w:pPr>
        <w:rPr>
          <w:rFonts w:eastAsia="Times New Roman"/>
          <w:lang w:eastAsia="es-UY"/>
        </w:rPr>
      </w:pPr>
    </w:p>
    <w:p w14:paraId="3DD9B66A" w14:textId="77777777"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14:paraId="67D503A1" w14:textId="3E230CD5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Describir cómo fue determinado el consumo de energía en el período de reporte. </w:t>
      </w:r>
    </w:p>
    <w:p w14:paraId="71F9378A" w14:textId="77777777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00D4933C" w14:textId="680BD176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6153201E" w14:textId="53B9E243" w:rsidR="00552BDB" w:rsidRPr="001E0C41" w:rsidRDefault="00552B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lastRenderedPageBreak/>
        <w:t xml:space="preserve">Si los datos medidos y estimados en el período de reporte tienen más de 180 días, se debe justificar técnicamente que continúan siendo válidos y son representativos para su extrapolación a la vida útil de la medida. </w:t>
      </w:r>
    </w:p>
    <w:p w14:paraId="4BDD6FBB" w14:textId="77777777"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9143420" w14:textId="77777777" w:rsidR="00E94BA0" w:rsidRPr="00E94BA0" w:rsidRDefault="00E94BA0" w:rsidP="001D775A">
      <w:pPr>
        <w:rPr>
          <w:rFonts w:eastAsia="Times New Roman"/>
          <w:lang w:eastAsia="es-UY"/>
        </w:rPr>
      </w:pPr>
    </w:p>
    <w:p w14:paraId="67206546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14:paraId="60DA0A5D" w14:textId="77777777" w:rsidR="0020080E" w:rsidRDefault="00E94BA0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14:paraId="27CC8D1E" w14:textId="77777777"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D4E90FC" w14:textId="77777777" w:rsidR="00604B26" w:rsidRDefault="00604B26" w:rsidP="001D775A">
      <w:pPr>
        <w:rPr>
          <w:rFonts w:eastAsia="Times New Roman"/>
          <w:lang w:eastAsia="es-UY"/>
        </w:rPr>
      </w:pPr>
    </w:p>
    <w:p w14:paraId="7A1D129F" w14:textId="77777777"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14:paraId="4860605D" w14:textId="77777777" w:rsidR="0020080E" w:rsidRPr="001E0C41" w:rsidRDefault="0020080E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Indique la fecha (</w:t>
      </w:r>
      <w:proofErr w:type="spellStart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dd</w:t>
      </w:r>
      <w:proofErr w:type="spellEnd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/mm/</w:t>
      </w:r>
      <w:proofErr w:type="spellStart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aaaa</w:t>
      </w:r>
      <w:proofErr w:type="spellEnd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) y qué referencia fue utilizada como evidencia (registros de puesta en operación, etc.).</w:t>
      </w:r>
    </w:p>
    <w:p w14:paraId="345D9A57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5F6CB2F" w14:textId="297E295E" w:rsidR="00341CB4" w:rsidRDefault="00341CB4" w:rsidP="001D775A">
      <w:pPr>
        <w:rPr>
          <w:rFonts w:eastAsia="Times New Roman"/>
          <w:lang w:eastAsia="es-UY"/>
        </w:rPr>
      </w:pPr>
    </w:p>
    <w:p w14:paraId="67DD79CD" w14:textId="77777777"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14:paraId="3696A25D" w14:textId="77777777" w:rsidR="0020080E" w:rsidRPr="001E0C41" w:rsidRDefault="0061498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ndicar los precios utilizados y sus referencias. </w:t>
      </w:r>
    </w:p>
    <w:p w14:paraId="4BDF8B0C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3C888692" w14:textId="77777777" w:rsidR="001E0C41" w:rsidRDefault="001E0C41" w:rsidP="0061498B">
      <w:pPr>
        <w:spacing w:after="0"/>
        <w:jc w:val="both"/>
        <w:rPr>
          <w:rFonts w:eastAsia="Times New Roman"/>
          <w:lang w:eastAsia="es-UY"/>
        </w:rPr>
      </w:pPr>
    </w:p>
    <w:p w14:paraId="6E61795C" w14:textId="77777777"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14:paraId="2C79AB38" w14:textId="77777777" w:rsidR="0020080E" w:rsidRPr="001E0C41" w:rsidRDefault="0061498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14:paraId="52AA534B" w14:textId="77777777"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B4A36D1" w14:textId="77777777" w:rsidR="00437048" w:rsidRDefault="00437048" w:rsidP="001D775A">
      <w:pPr>
        <w:rPr>
          <w:rFonts w:eastAsia="Times New Roman"/>
          <w:lang w:eastAsia="es-UY"/>
        </w:rPr>
      </w:pPr>
    </w:p>
    <w:p w14:paraId="596D1A2F" w14:textId="785A3EEA" w:rsidR="000A34AC" w:rsidRPr="00C66A13" w:rsidRDefault="000A34AC" w:rsidP="00C66A13">
      <w:pPr>
        <w:pStyle w:val="Ttulo2"/>
        <w:spacing w:before="0"/>
      </w:pPr>
      <w:r w:rsidRPr="00C66A13">
        <w:t>Detalles de medición</w:t>
      </w:r>
    </w:p>
    <w:p w14:paraId="49926766" w14:textId="5F39020D" w:rsidR="000A34AC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specificar:</w:t>
      </w:r>
    </w:p>
    <w:p w14:paraId="51EE379C" w14:textId="36968A44" w:rsidR="00C66A13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- Si se utilizaron los medidores de facturación de energía para medir los consumos de línea base y/o período de reporte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</w:p>
    <w:p w14:paraId="143BAA2C" w14:textId="641C8C11" w:rsidR="00C66A13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- Si no se utilizaron los medidores de facturación de energía, describir:</w:t>
      </w:r>
    </w:p>
    <w:p w14:paraId="15C5A9A7" w14:textId="7BCB29B6" w:rsidR="00C66A13" w:rsidRPr="00EC314D" w:rsidRDefault="00C66A13" w:rsidP="00C66A13">
      <w:pPr>
        <w:spacing w:after="0"/>
        <w:ind w:left="284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Especificaciones del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o los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medidor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 incluyendo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: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tipo, marca, modelo, así como el rango, resolución, exactitud y precisión de las lecturas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(adjuntar especificaciones)</w:t>
      </w:r>
    </w:p>
    <w:p w14:paraId="21B8925D" w14:textId="73F53D91" w:rsidR="001E0C41" w:rsidRPr="00EC314D" w:rsidRDefault="00C66A13" w:rsidP="00C66A13">
      <w:pPr>
        <w:spacing w:after="0"/>
        <w:ind w:left="284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Requisitos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procedimientos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planes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medidores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 y fechas de calibraci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o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n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/verificacione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s. A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djuntar certificados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. S</w:t>
      </w:r>
      <w:r w:rsidR="001E0C41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 no presenta certificados de calibración/verificación, justificación técnica que avale que los medidores no requieren calibración/verificación y documentación de terceras partes que respalde esto (especificaciones de equipos o notas de entidades calibradoras/verificadoras o fabricantes).</w:t>
      </w:r>
    </w:p>
    <w:p w14:paraId="42E15C66" w14:textId="15F3500B" w:rsidR="000A34AC" w:rsidRDefault="00EC314D" w:rsidP="001D775A">
      <w:pPr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520EF5C" w14:textId="77777777" w:rsidR="001E0C41" w:rsidRDefault="001E0C41" w:rsidP="001D775A">
      <w:pPr>
        <w:rPr>
          <w:rFonts w:eastAsia="Times New Roman"/>
          <w:lang w:eastAsia="es-UY"/>
        </w:rPr>
      </w:pPr>
    </w:p>
    <w:p w14:paraId="1925D036" w14:textId="77777777" w:rsidR="00437048" w:rsidRPr="00AE3439" w:rsidRDefault="0020080E" w:rsidP="00CC7906">
      <w:pPr>
        <w:pStyle w:val="Ttulo2"/>
        <w:spacing w:before="0"/>
      </w:pPr>
      <w:r w:rsidRPr="00AE3439">
        <w:lastRenderedPageBreak/>
        <w:t xml:space="preserve">Ahorros energéticos y monetarios: </w:t>
      </w:r>
    </w:p>
    <w:p w14:paraId="011E26DF" w14:textId="5E47885E" w:rsidR="00CC7906" w:rsidRPr="00884C75" w:rsidRDefault="00AE3439" w:rsidP="00CC7906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P</w:t>
      </w:r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resentar el ahorro obtenido en unidades energéticas (</w:t>
      </w:r>
      <w:proofErr w:type="spellStart"/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tep</w:t>
      </w:r>
      <w:proofErr w:type="spellEnd"/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/año</w:t>
      </w:r>
      <w:r w:rsidR="00AF26B5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</w:t>
      </w:r>
      <w:proofErr w:type="spellStart"/>
      <w:r w:rsidR="00AF26B5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tep</w:t>
      </w:r>
      <w:proofErr w:type="spellEnd"/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) y monetarias (UYU/año).</w:t>
      </w:r>
      <w:r w:rsidR="00CC7906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</w:p>
    <w:p w14:paraId="7393A774" w14:textId="58FBD074" w:rsidR="00CC7906" w:rsidRPr="00884C75" w:rsidRDefault="00CC7906" w:rsidP="00CC7906">
      <w:pPr>
        <w:jc w:val="both"/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es-UY"/>
        </w:rPr>
      </w:pPr>
      <w:r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Si presentó un Plan de M&amp;V, el ahorro energético debe presentarse con su consiguiente incertidumbre, calculada acorde a lo establecido en el Plan de M&amp;V.</w:t>
      </w: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CC7906" w14:paraId="56CD13F6" w14:textId="77777777" w:rsidTr="00884C75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673E70F" w14:textId="0784B6AF" w:rsidR="00CC7906" w:rsidRPr="008F50C5" w:rsidRDefault="00CC7906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 energético (</w:t>
            </w:r>
            <w:proofErr w:type="spellStart"/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tep</w:t>
            </w:r>
            <w:proofErr w:type="spellEnd"/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/año)</w:t>
            </w:r>
          </w:p>
        </w:tc>
        <w:tc>
          <w:tcPr>
            <w:tcW w:w="4275" w:type="dxa"/>
            <w:vAlign w:val="center"/>
          </w:tcPr>
          <w:p w14:paraId="1773F6BB" w14:textId="77777777" w:rsidR="00CC7906" w:rsidRDefault="00CC7906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F26B5" w14:paraId="2DDBCC89" w14:textId="77777777" w:rsidTr="00884C75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92A4070" w14:textId="2DA5EC66" w:rsidR="00AF26B5" w:rsidRPr="008F50C5" w:rsidRDefault="00AF26B5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</w:t>
            </w:r>
            <w:r w:rsidR="00A95320"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s</w:t>
            </w: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 xml:space="preserve"> totales de energía (en la vida útil de la medida</w:t>
            </w:r>
            <w:r w:rsidR="00A95320"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, sin ponderar</w:t>
            </w: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), (</w:t>
            </w:r>
            <w:proofErr w:type="spellStart"/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tep</w:t>
            </w:r>
            <w:proofErr w:type="spellEnd"/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)</w:t>
            </w:r>
          </w:p>
        </w:tc>
        <w:tc>
          <w:tcPr>
            <w:tcW w:w="4275" w:type="dxa"/>
            <w:vAlign w:val="center"/>
          </w:tcPr>
          <w:p w14:paraId="24F6DF28" w14:textId="77777777" w:rsidR="00AF26B5" w:rsidRDefault="00AF26B5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CC7906" w:rsidRPr="00CC7906" w14:paraId="624D4F52" w14:textId="77777777" w:rsidTr="00884C75">
        <w:trPr>
          <w:trHeight w:val="43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1483AEC5" w14:textId="39D1AA69" w:rsidR="00CC7906" w:rsidRPr="008F50C5" w:rsidRDefault="00CC7906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 monetario (UYU/año)</w:t>
            </w:r>
          </w:p>
        </w:tc>
        <w:tc>
          <w:tcPr>
            <w:tcW w:w="4275" w:type="dxa"/>
            <w:vAlign w:val="center"/>
          </w:tcPr>
          <w:p w14:paraId="1AD46C59" w14:textId="77777777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</w:p>
        </w:tc>
      </w:tr>
    </w:tbl>
    <w:p w14:paraId="6000A7C1" w14:textId="3B5161CE" w:rsidR="007D7ACF" w:rsidRDefault="007D7ACF">
      <w:pPr>
        <w:spacing w:after="160" w:line="259" w:lineRule="auto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AE3439" w14:paraId="7C74E84C" w14:textId="77777777" w:rsidTr="00884C75">
        <w:trPr>
          <w:trHeight w:val="88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5CC93" w14:textId="43C7BDA6" w:rsidR="00420DCC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Firma del Certificador</w:t>
            </w:r>
          </w:p>
        </w:tc>
        <w:tc>
          <w:tcPr>
            <w:tcW w:w="4275" w:type="dxa"/>
            <w:vAlign w:val="center"/>
          </w:tcPr>
          <w:p w14:paraId="0BA60E07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528A82EA" w14:textId="77777777" w:rsidTr="00884C75">
        <w:trPr>
          <w:trHeight w:val="632"/>
        </w:trPr>
        <w:tc>
          <w:tcPr>
            <w:tcW w:w="4219" w:type="dxa"/>
            <w:shd w:val="clear" w:color="auto" w:fill="D9D9D9" w:themeFill="background1" w:themeFillShade="D9"/>
          </w:tcPr>
          <w:p w14:paraId="2C00AFEF" w14:textId="77777777" w:rsidR="00AE3439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Aclaración de firma</w:t>
            </w:r>
          </w:p>
        </w:tc>
        <w:tc>
          <w:tcPr>
            <w:tcW w:w="4275" w:type="dxa"/>
            <w:vAlign w:val="center"/>
          </w:tcPr>
          <w:p w14:paraId="316A354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4AC1D329" w14:textId="77777777" w:rsidTr="00884C75">
        <w:tc>
          <w:tcPr>
            <w:tcW w:w="4219" w:type="dxa"/>
            <w:shd w:val="clear" w:color="auto" w:fill="D9D9D9" w:themeFill="background1" w:themeFillShade="D9"/>
          </w:tcPr>
          <w:p w14:paraId="26CD2599" w14:textId="77777777" w:rsidR="00AE3439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Fecha</w:t>
            </w:r>
          </w:p>
        </w:tc>
        <w:tc>
          <w:tcPr>
            <w:tcW w:w="4275" w:type="dxa"/>
            <w:vAlign w:val="center"/>
          </w:tcPr>
          <w:p w14:paraId="2728293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14:paraId="08CE9DDF" w14:textId="77777777" w:rsidR="00243F6A" w:rsidRDefault="00243F6A" w:rsidP="0020080E">
      <w:pPr>
        <w:rPr>
          <w:rFonts w:ascii="Calibri" w:eastAsia="Times New Roman" w:hAnsi="Calibri" w:cs="Times New Roman"/>
          <w:bCs/>
          <w:lang w:eastAsia="es-UY"/>
        </w:rPr>
      </w:pPr>
      <w:r>
        <w:rPr>
          <w:rFonts w:ascii="Calibri" w:eastAsia="Times New Roman" w:hAnsi="Calibri" w:cs="Times New Roman"/>
          <w:bCs/>
          <w:lang w:eastAsia="es-UY"/>
        </w:rPr>
        <w:tab/>
      </w:r>
    </w:p>
    <w:p w14:paraId="308CABA7" w14:textId="77777777" w:rsidR="00884C75" w:rsidRPr="00884C75" w:rsidRDefault="00884C75" w:rsidP="00884C75"/>
    <w:p w14:paraId="2597671B" w14:textId="77777777" w:rsidR="00884C75" w:rsidRPr="00884C75" w:rsidRDefault="00884C75" w:rsidP="00884C75"/>
    <w:p w14:paraId="146016EE" w14:textId="77777777" w:rsidR="00884C75" w:rsidRPr="00884C75" w:rsidRDefault="00884C75" w:rsidP="00884C75"/>
    <w:p w14:paraId="057EBE00" w14:textId="77777777" w:rsidR="00884C75" w:rsidRPr="00884C75" w:rsidRDefault="00884C75" w:rsidP="00884C75"/>
    <w:p w14:paraId="733D2FD7" w14:textId="77777777" w:rsidR="00884C75" w:rsidRPr="00884C75" w:rsidRDefault="00884C75" w:rsidP="00884C75"/>
    <w:p w14:paraId="6465978E" w14:textId="77777777" w:rsidR="00884C75" w:rsidRPr="00884C75" w:rsidRDefault="00884C75" w:rsidP="00884C75"/>
    <w:p w14:paraId="05684A9C" w14:textId="77777777" w:rsidR="00884C75" w:rsidRPr="00884C75" w:rsidRDefault="00884C75" w:rsidP="00884C75"/>
    <w:p w14:paraId="44764F50" w14:textId="77777777" w:rsidR="00884C75" w:rsidRPr="00884C75" w:rsidRDefault="00884C75" w:rsidP="00884C75"/>
    <w:p w14:paraId="2FF634A6" w14:textId="77777777" w:rsidR="00884C75" w:rsidRPr="00884C75" w:rsidRDefault="00884C75" w:rsidP="00884C75"/>
    <w:p w14:paraId="46F3C732" w14:textId="77777777" w:rsidR="00884C75" w:rsidRPr="00884C75" w:rsidRDefault="00884C75" w:rsidP="00884C75"/>
    <w:p w14:paraId="1E96D1C1" w14:textId="77777777" w:rsidR="00884C75" w:rsidRPr="00884C75" w:rsidRDefault="00884C75" w:rsidP="00884C75"/>
    <w:p w14:paraId="73FA9E5C" w14:textId="77777777" w:rsidR="00884C75" w:rsidRPr="00884C75" w:rsidRDefault="00884C75" w:rsidP="00884C75"/>
    <w:p w14:paraId="639B1C0B" w14:textId="77777777" w:rsidR="00884C75" w:rsidRPr="00884C75" w:rsidRDefault="00884C75" w:rsidP="00884C75">
      <w:pPr>
        <w:jc w:val="center"/>
      </w:pPr>
    </w:p>
    <w:sectPr w:rsidR="00884C75" w:rsidRPr="00884C75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EC7" w14:textId="77777777" w:rsidR="00E4048E" w:rsidRDefault="00E4048E" w:rsidP="0020080E">
      <w:pPr>
        <w:spacing w:after="0" w:line="240" w:lineRule="auto"/>
      </w:pPr>
      <w:r>
        <w:separator/>
      </w:r>
    </w:p>
  </w:endnote>
  <w:endnote w:type="continuationSeparator" w:id="0">
    <w:p w14:paraId="52A64460" w14:textId="77777777" w:rsidR="00E4048E" w:rsidRDefault="00E4048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77777777" w:rsidR="00914857" w:rsidRDefault="00914857" w:rsidP="00914857">
            <w:pPr>
              <w:pStyle w:val="Piedepgina"/>
              <w:jc w:val="center"/>
            </w:pPr>
            <w:r w:rsidRPr="00884C75">
              <w:rPr>
                <w:color w:val="2E74B5" w:themeColor="accent1" w:themeShade="BF"/>
                <w:lang w:val="es-ES"/>
              </w:rPr>
              <w:t xml:space="preserve">Página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PAGE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9E57FD" w:rsidRPr="00884C75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884C75">
              <w:rPr>
                <w:color w:val="2E74B5" w:themeColor="accent1" w:themeShade="BF"/>
                <w:lang w:val="es-ES"/>
              </w:rPr>
              <w:t xml:space="preserve"> de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NUMPAGES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9E57FD" w:rsidRPr="00884C75">
              <w:rPr>
                <w:b/>
                <w:bCs/>
                <w:noProof/>
                <w:color w:val="2E74B5" w:themeColor="accent1" w:themeShade="BF"/>
              </w:rPr>
              <w:t>4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  <w:p w14:paraId="1B02184D" w14:textId="77777777" w:rsidR="00704FEC" w:rsidRDefault="00704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B26A" w14:textId="77777777" w:rsidR="00E4048E" w:rsidRDefault="00E4048E" w:rsidP="0020080E">
      <w:pPr>
        <w:spacing w:after="0" w:line="240" w:lineRule="auto"/>
      </w:pPr>
      <w:r>
        <w:separator/>
      </w:r>
    </w:p>
  </w:footnote>
  <w:footnote w:type="continuationSeparator" w:id="0">
    <w:p w14:paraId="68CDEDA7" w14:textId="77777777" w:rsidR="00E4048E" w:rsidRDefault="00E4048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A6" w14:textId="38D639B9" w:rsidR="0020080E" w:rsidRPr="00CE3C94" w:rsidRDefault="003C147A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601D3A">
      <w:rPr>
        <w:noProof/>
        <w:color w:val="000000"/>
        <w:sz w:val="4"/>
        <w:szCs w:val="4"/>
      </w:rPr>
      <w:drawing>
        <wp:inline distT="0" distB="0" distL="0" distR="0" wp14:anchorId="72128D5C" wp14:editId="4CC5F3CA">
          <wp:extent cx="1130060" cy="473483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CE3C94" w:rsidRPr="00CE3C94">
      <w:rPr>
        <w:noProof/>
        <w:lang w:eastAsia="es-UY"/>
      </w:rPr>
      <w:drawing>
        <wp:inline distT="0" distB="0" distL="0" distR="0" wp14:anchorId="5BD739D3" wp14:editId="6AD22C37">
          <wp:extent cx="1129085" cy="374317"/>
          <wp:effectExtent l="0" t="0" r="0" b="6985"/>
          <wp:docPr id="11" name="Imagen 11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sz w:val="4"/>
        <w:szCs w:val="4"/>
      </w:rPr>
      <w:tab/>
    </w:r>
    <w:r w:rsidR="00CE3C94">
      <w:rPr>
        <w:noProof/>
        <w:sz w:val="4"/>
        <w:szCs w:val="4"/>
        <w:lang w:eastAsia="es-UY"/>
      </w:rPr>
      <w:drawing>
        <wp:inline distT="0" distB="0" distL="0" distR="0" wp14:anchorId="1BF72EA5" wp14:editId="74C542BC">
          <wp:extent cx="1319917" cy="406129"/>
          <wp:effectExtent l="0" t="0" r="0" b="0"/>
          <wp:docPr id="12" name="Imagen 12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12490" w14:textId="77777777" w:rsidR="00704FEC" w:rsidRDefault="00704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 w16cid:durableId="1860704636">
    <w:abstractNumId w:val="2"/>
  </w:num>
  <w:num w:numId="2" w16cid:durableId="66417543">
    <w:abstractNumId w:val="0"/>
  </w:num>
  <w:num w:numId="3" w16cid:durableId="1122648486">
    <w:abstractNumId w:val="1"/>
  </w:num>
  <w:num w:numId="4" w16cid:durableId="246815644">
    <w:abstractNumId w:val="0"/>
  </w:num>
  <w:num w:numId="5" w16cid:durableId="2055277253">
    <w:abstractNumId w:val="0"/>
  </w:num>
  <w:num w:numId="6" w16cid:durableId="807092936">
    <w:abstractNumId w:val="0"/>
  </w:num>
  <w:num w:numId="7" w16cid:durableId="2031712521">
    <w:abstractNumId w:val="0"/>
  </w:num>
  <w:num w:numId="8" w16cid:durableId="1141076734">
    <w:abstractNumId w:val="0"/>
  </w:num>
  <w:num w:numId="9" w16cid:durableId="1160005820">
    <w:abstractNumId w:val="0"/>
  </w:num>
  <w:num w:numId="10" w16cid:durableId="2075925876">
    <w:abstractNumId w:val="0"/>
  </w:num>
  <w:num w:numId="11" w16cid:durableId="1492451628">
    <w:abstractNumId w:val="0"/>
  </w:num>
  <w:num w:numId="12" w16cid:durableId="712004406">
    <w:abstractNumId w:val="0"/>
  </w:num>
  <w:num w:numId="13" w16cid:durableId="1358775169">
    <w:abstractNumId w:val="0"/>
  </w:num>
  <w:num w:numId="14" w16cid:durableId="1491677279">
    <w:abstractNumId w:val="0"/>
  </w:num>
  <w:num w:numId="15" w16cid:durableId="1382703414">
    <w:abstractNumId w:val="0"/>
  </w:num>
  <w:num w:numId="16" w16cid:durableId="1256868057">
    <w:abstractNumId w:val="0"/>
  </w:num>
  <w:num w:numId="17" w16cid:durableId="1987279173">
    <w:abstractNumId w:val="0"/>
  </w:num>
  <w:num w:numId="18" w16cid:durableId="1363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0E"/>
    <w:rsid w:val="000044C8"/>
    <w:rsid w:val="00011D61"/>
    <w:rsid w:val="0003670F"/>
    <w:rsid w:val="000A34AC"/>
    <w:rsid w:val="00113C7C"/>
    <w:rsid w:val="001454CA"/>
    <w:rsid w:val="001D775A"/>
    <w:rsid w:val="001E0C41"/>
    <w:rsid w:val="0020080E"/>
    <w:rsid w:val="00203BFB"/>
    <w:rsid w:val="00243F6A"/>
    <w:rsid w:val="002D5DA4"/>
    <w:rsid w:val="003071EF"/>
    <w:rsid w:val="00341CB4"/>
    <w:rsid w:val="003827EB"/>
    <w:rsid w:val="003C147A"/>
    <w:rsid w:val="00420DCC"/>
    <w:rsid w:val="004264D5"/>
    <w:rsid w:val="00437048"/>
    <w:rsid w:val="00484EDB"/>
    <w:rsid w:val="00552BDB"/>
    <w:rsid w:val="00601D57"/>
    <w:rsid w:val="00604B26"/>
    <w:rsid w:val="0061498B"/>
    <w:rsid w:val="00680B03"/>
    <w:rsid w:val="00690171"/>
    <w:rsid w:val="00695CCE"/>
    <w:rsid w:val="006B2808"/>
    <w:rsid w:val="00704FEC"/>
    <w:rsid w:val="0070527D"/>
    <w:rsid w:val="007D7ACF"/>
    <w:rsid w:val="00816A23"/>
    <w:rsid w:val="00833392"/>
    <w:rsid w:val="008534B9"/>
    <w:rsid w:val="00884C75"/>
    <w:rsid w:val="008F50C5"/>
    <w:rsid w:val="00914857"/>
    <w:rsid w:val="0095156C"/>
    <w:rsid w:val="00993469"/>
    <w:rsid w:val="009A5A53"/>
    <w:rsid w:val="009E57FD"/>
    <w:rsid w:val="00A00EDB"/>
    <w:rsid w:val="00A37DB7"/>
    <w:rsid w:val="00A95320"/>
    <w:rsid w:val="00AE3439"/>
    <w:rsid w:val="00AF26B5"/>
    <w:rsid w:val="00B179BC"/>
    <w:rsid w:val="00B82B53"/>
    <w:rsid w:val="00C06A56"/>
    <w:rsid w:val="00C235AF"/>
    <w:rsid w:val="00C66A13"/>
    <w:rsid w:val="00CC7906"/>
    <w:rsid w:val="00CE3C94"/>
    <w:rsid w:val="00D14662"/>
    <w:rsid w:val="00D3770C"/>
    <w:rsid w:val="00D62168"/>
    <w:rsid w:val="00E335B3"/>
    <w:rsid w:val="00E4048E"/>
    <w:rsid w:val="00E609B4"/>
    <w:rsid w:val="00E74E3D"/>
    <w:rsid w:val="00E94BA0"/>
    <w:rsid w:val="00EC314D"/>
    <w:rsid w:val="00F13557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EC314D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14D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1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C314D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  <w:style w:type="paragraph" w:styleId="Revisin">
    <w:name w:val="Revision"/>
    <w:hidden/>
    <w:uiPriority w:val="99"/>
    <w:semiHidden/>
    <w:rsid w:val="00695CC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52</cp:revision>
  <dcterms:created xsi:type="dcterms:W3CDTF">2018-01-19T12:10:00Z</dcterms:created>
  <dcterms:modified xsi:type="dcterms:W3CDTF">2023-05-08T19:04:00Z</dcterms:modified>
</cp:coreProperties>
</file>